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7584C" w14:textId="16BFBE54" w:rsidR="00F46F18" w:rsidRDefault="000A33C3" w:rsidP="00711D84">
      <w:pPr>
        <w:spacing w:after="0"/>
        <w:jc w:val="center"/>
        <w:rPr>
          <w:b/>
          <w:sz w:val="32"/>
        </w:rPr>
      </w:pPr>
      <w:r>
        <w:rPr>
          <w:noProof/>
          <w:lang w:eastAsia="en-GB"/>
        </w:rPr>
        <w:drawing>
          <wp:inline distT="0" distB="0" distL="0" distR="0" wp14:anchorId="6AE522FF" wp14:editId="03268EF7">
            <wp:extent cx="2219325" cy="10301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2241" cy="1040737"/>
                    </a:xfrm>
                    <a:prstGeom prst="rect">
                      <a:avLst/>
                    </a:prstGeom>
                    <a:noFill/>
                    <a:ln>
                      <a:noFill/>
                    </a:ln>
                  </pic:spPr>
                </pic:pic>
              </a:graphicData>
            </a:graphic>
          </wp:inline>
        </w:drawing>
      </w:r>
    </w:p>
    <w:p w14:paraId="4998419B" w14:textId="77777777" w:rsidR="00F46F18" w:rsidRPr="00801E5C" w:rsidRDefault="00F46F18" w:rsidP="001E1A8D">
      <w:pPr>
        <w:spacing w:after="0"/>
        <w:rPr>
          <w:b/>
          <w:sz w:val="32"/>
        </w:rPr>
      </w:pPr>
    </w:p>
    <w:tbl>
      <w:tblPr>
        <w:tblStyle w:val="TableGrid"/>
        <w:tblW w:w="0" w:type="auto"/>
        <w:tblLook w:val="04A0" w:firstRow="1" w:lastRow="0" w:firstColumn="1" w:lastColumn="0" w:noHBand="0" w:noVBand="1"/>
      </w:tblPr>
      <w:tblGrid>
        <w:gridCol w:w="2405"/>
        <w:gridCol w:w="7223"/>
      </w:tblGrid>
      <w:tr w:rsidR="00801E5C" w14:paraId="7AE0D26C" w14:textId="77777777" w:rsidTr="00801E5C">
        <w:tc>
          <w:tcPr>
            <w:tcW w:w="9628" w:type="dxa"/>
            <w:gridSpan w:val="2"/>
            <w:shd w:val="clear" w:color="auto" w:fill="BFBFBF" w:themeFill="background1" w:themeFillShade="BF"/>
          </w:tcPr>
          <w:p w14:paraId="2841AEEF" w14:textId="77777777" w:rsidR="00801E5C" w:rsidRDefault="008D5593" w:rsidP="00F86730">
            <w:pPr>
              <w:jc w:val="both"/>
            </w:pPr>
            <w:r>
              <w:rPr>
                <w:b/>
                <w:sz w:val="32"/>
              </w:rPr>
              <w:t>Job</w:t>
            </w:r>
            <w:r w:rsidR="00C5284C">
              <w:rPr>
                <w:b/>
                <w:sz w:val="32"/>
              </w:rPr>
              <w:t xml:space="preserve"> Profile</w:t>
            </w:r>
          </w:p>
        </w:tc>
      </w:tr>
      <w:tr w:rsidR="00801E5C" w14:paraId="1D90E866" w14:textId="77777777" w:rsidTr="00F86730">
        <w:tc>
          <w:tcPr>
            <w:tcW w:w="2405" w:type="dxa"/>
            <w:shd w:val="clear" w:color="auto" w:fill="D9D9D9" w:themeFill="background1" w:themeFillShade="D9"/>
          </w:tcPr>
          <w:p w14:paraId="1DF58401" w14:textId="77777777" w:rsidR="00801E5C" w:rsidRPr="00801E5C" w:rsidRDefault="008D5593" w:rsidP="00801E5C">
            <w:pPr>
              <w:rPr>
                <w:b/>
                <w:sz w:val="28"/>
              </w:rPr>
            </w:pPr>
            <w:r>
              <w:rPr>
                <w:b/>
                <w:sz w:val="28"/>
              </w:rPr>
              <w:t>Job</w:t>
            </w:r>
            <w:r w:rsidR="00F86730">
              <w:rPr>
                <w:b/>
                <w:sz w:val="28"/>
              </w:rPr>
              <w:t xml:space="preserve"> Title</w:t>
            </w:r>
          </w:p>
        </w:tc>
        <w:tc>
          <w:tcPr>
            <w:tcW w:w="7223" w:type="dxa"/>
            <w:shd w:val="clear" w:color="auto" w:fill="D9D9D9" w:themeFill="background1" w:themeFillShade="D9"/>
          </w:tcPr>
          <w:p w14:paraId="6ED5DD1F" w14:textId="1939D14B" w:rsidR="00801E5C" w:rsidRPr="00F86730" w:rsidRDefault="00D903C2" w:rsidP="00801E5C">
            <w:pPr>
              <w:rPr>
                <w:b/>
                <w:sz w:val="28"/>
              </w:rPr>
            </w:pPr>
            <w:r>
              <w:rPr>
                <w:b/>
                <w:sz w:val="28"/>
              </w:rPr>
              <w:t>Young Persons Support Worker</w:t>
            </w:r>
            <w:r w:rsidR="009A7C34">
              <w:rPr>
                <w:b/>
                <w:sz w:val="28"/>
              </w:rPr>
              <w:t xml:space="preserve"> (YES Project)</w:t>
            </w:r>
          </w:p>
        </w:tc>
      </w:tr>
      <w:tr w:rsidR="00F86730" w14:paraId="15CB4F49" w14:textId="77777777" w:rsidTr="00F86730">
        <w:tc>
          <w:tcPr>
            <w:tcW w:w="2405" w:type="dxa"/>
            <w:shd w:val="clear" w:color="auto" w:fill="D9D9D9" w:themeFill="background1" w:themeFillShade="D9"/>
          </w:tcPr>
          <w:p w14:paraId="5B304787" w14:textId="77777777" w:rsidR="00F86730" w:rsidRPr="00801E5C" w:rsidRDefault="00F86730" w:rsidP="00F86730">
            <w:pPr>
              <w:rPr>
                <w:b/>
                <w:sz w:val="28"/>
              </w:rPr>
            </w:pPr>
            <w:r w:rsidRPr="00801E5C">
              <w:rPr>
                <w:b/>
                <w:sz w:val="28"/>
              </w:rPr>
              <w:t>Hours per Week</w:t>
            </w:r>
          </w:p>
        </w:tc>
        <w:tc>
          <w:tcPr>
            <w:tcW w:w="7223" w:type="dxa"/>
          </w:tcPr>
          <w:p w14:paraId="6634E1E7" w14:textId="77777777" w:rsidR="00F86730" w:rsidRDefault="00D903C2" w:rsidP="00F86730">
            <w:pPr>
              <w:rPr>
                <w:sz w:val="28"/>
              </w:rPr>
            </w:pPr>
            <w:r>
              <w:rPr>
                <w:sz w:val="28"/>
              </w:rPr>
              <w:t>37</w:t>
            </w:r>
          </w:p>
        </w:tc>
      </w:tr>
      <w:tr w:rsidR="00F86730" w14:paraId="27C9BB2C" w14:textId="77777777" w:rsidTr="00F86730">
        <w:tc>
          <w:tcPr>
            <w:tcW w:w="2405" w:type="dxa"/>
            <w:shd w:val="clear" w:color="auto" w:fill="D9D9D9" w:themeFill="background1" w:themeFillShade="D9"/>
          </w:tcPr>
          <w:p w14:paraId="33AD5A5E" w14:textId="77777777" w:rsidR="00F86730" w:rsidRPr="00801E5C" w:rsidRDefault="00F86730" w:rsidP="00F86730">
            <w:pPr>
              <w:rPr>
                <w:b/>
                <w:sz w:val="28"/>
              </w:rPr>
            </w:pPr>
            <w:r w:rsidRPr="00801E5C">
              <w:rPr>
                <w:b/>
                <w:sz w:val="28"/>
              </w:rPr>
              <w:t>Salary</w:t>
            </w:r>
          </w:p>
        </w:tc>
        <w:tc>
          <w:tcPr>
            <w:tcW w:w="7223" w:type="dxa"/>
          </w:tcPr>
          <w:p w14:paraId="1C70A07E" w14:textId="51DC5F42" w:rsidR="00F86730" w:rsidRPr="00801E5C" w:rsidRDefault="00D903C2" w:rsidP="00F86730">
            <w:pPr>
              <w:rPr>
                <w:sz w:val="28"/>
              </w:rPr>
            </w:pPr>
            <w:r>
              <w:rPr>
                <w:sz w:val="28"/>
              </w:rPr>
              <w:t>Up to £</w:t>
            </w:r>
            <w:r w:rsidR="004B5043">
              <w:rPr>
                <w:sz w:val="28"/>
              </w:rPr>
              <w:t>23,069</w:t>
            </w:r>
            <w:r>
              <w:rPr>
                <w:sz w:val="28"/>
              </w:rPr>
              <w:t xml:space="preserve"> FTE (dependent upon experience)</w:t>
            </w:r>
          </w:p>
        </w:tc>
      </w:tr>
      <w:tr w:rsidR="00187E7A" w14:paraId="5B87502C" w14:textId="77777777" w:rsidTr="00F86730">
        <w:tc>
          <w:tcPr>
            <w:tcW w:w="2405" w:type="dxa"/>
            <w:shd w:val="clear" w:color="auto" w:fill="D9D9D9" w:themeFill="background1" w:themeFillShade="D9"/>
          </w:tcPr>
          <w:p w14:paraId="768793E6" w14:textId="0BEDEFA5" w:rsidR="00187E7A" w:rsidRPr="00801E5C" w:rsidRDefault="00187E7A" w:rsidP="00F86730">
            <w:pPr>
              <w:rPr>
                <w:b/>
                <w:sz w:val="28"/>
              </w:rPr>
            </w:pPr>
            <w:r>
              <w:rPr>
                <w:b/>
                <w:sz w:val="28"/>
              </w:rPr>
              <w:t>Fixed Term</w:t>
            </w:r>
          </w:p>
        </w:tc>
        <w:tc>
          <w:tcPr>
            <w:tcW w:w="7223" w:type="dxa"/>
          </w:tcPr>
          <w:p w14:paraId="4A41DB4F" w14:textId="00FC4442" w:rsidR="00187E7A" w:rsidRDefault="00BD48B6" w:rsidP="00F86730">
            <w:pPr>
              <w:rPr>
                <w:sz w:val="28"/>
              </w:rPr>
            </w:pPr>
            <w:r>
              <w:rPr>
                <w:sz w:val="28"/>
              </w:rPr>
              <w:t>9 - 12 months</w:t>
            </w:r>
          </w:p>
        </w:tc>
      </w:tr>
      <w:tr w:rsidR="00BD48B6" w14:paraId="23F8CB74" w14:textId="77777777" w:rsidTr="00F86730">
        <w:tc>
          <w:tcPr>
            <w:tcW w:w="2405" w:type="dxa"/>
            <w:shd w:val="clear" w:color="auto" w:fill="D9D9D9" w:themeFill="background1" w:themeFillShade="D9"/>
          </w:tcPr>
          <w:p w14:paraId="4313FAC2" w14:textId="0F252A2A" w:rsidR="00BD48B6" w:rsidRDefault="00BD48B6" w:rsidP="00F86730">
            <w:pPr>
              <w:rPr>
                <w:b/>
                <w:sz w:val="28"/>
              </w:rPr>
            </w:pPr>
            <w:r>
              <w:rPr>
                <w:b/>
                <w:sz w:val="28"/>
              </w:rPr>
              <w:t>Maternity Cover</w:t>
            </w:r>
          </w:p>
        </w:tc>
        <w:tc>
          <w:tcPr>
            <w:tcW w:w="7223" w:type="dxa"/>
          </w:tcPr>
          <w:p w14:paraId="7087C761" w14:textId="58BFF3C1" w:rsidR="00BD48B6" w:rsidRDefault="004F7008" w:rsidP="00F86730">
            <w:pPr>
              <w:rPr>
                <w:sz w:val="28"/>
              </w:rPr>
            </w:pPr>
            <w:r>
              <w:rPr>
                <w:sz w:val="28"/>
              </w:rPr>
              <w:t>From November</w:t>
            </w:r>
            <w:r w:rsidR="00BD48B6">
              <w:rPr>
                <w:sz w:val="28"/>
              </w:rPr>
              <w:t xml:space="preserve"> 2020</w:t>
            </w:r>
          </w:p>
        </w:tc>
      </w:tr>
      <w:tr w:rsidR="00F86730" w14:paraId="1B0485DF" w14:textId="77777777" w:rsidTr="00F86730">
        <w:tc>
          <w:tcPr>
            <w:tcW w:w="2405" w:type="dxa"/>
            <w:shd w:val="clear" w:color="auto" w:fill="D9D9D9" w:themeFill="background1" w:themeFillShade="D9"/>
          </w:tcPr>
          <w:p w14:paraId="011E3FB6" w14:textId="77777777" w:rsidR="00F86730" w:rsidRPr="00801E5C" w:rsidRDefault="00F86730" w:rsidP="00F86730">
            <w:pPr>
              <w:rPr>
                <w:b/>
                <w:sz w:val="28"/>
              </w:rPr>
            </w:pPr>
            <w:r w:rsidRPr="00801E5C">
              <w:rPr>
                <w:b/>
                <w:sz w:val="28"/>
              </w:rPr>
              <w:t>Responsible to</w:t>
            </w:r>
          </w:p>
        </w:tc>
        <w:tc>
          <w:tcPr>
            <w:tcW w:w="7223" w:type="dxa"/>
          </w:tcPr>
          <w:p w14:paraId="007EC97E" w14:textId="77777777" w:rsidR="00F86730" w:rsidRPr="00801E5C" w:rsidRDefault="00D903C2" w:rsidP="00F86730">
            <w:pPr>
              <w:rPr>
                <w:sz w:val="28"/>
              </w:rPr>
            </w:pPr>
            <w:r>
              <w:rPr>
                <w:sz w:val="28"/>
              </w:rPr>
              <w:t>Specialist Services Team Manager</w:t>
            </w:r>
          </w:p>
        </w:tc>
      </w:tr>
      <w:tr w:rsidR="00F86730" w14:paraId="33370D9E" w14:textId="77777777" w:rsidTr="00F86730">
        <w:tc>
          <w:tcPr>
            <w:tcW w:w="2405" w:type="dxa"/>
            <w:shd w:val="clear" w:color="auto" w:fill="D9D9D9" w:themeFill="background1" w:themeFillShade="D9"/>
          </w:tcPr>
          <w:p w14:paraId="1790899A" w14:textId="77777777" w:rsidR="00F86730" w:rsidRPr="00801E5C" w:rsidRDefault="00F86730" w:rsidP="00F86730">
            <w:pPr>
              <w:rPr>
                <w:b/>
                <w:sz w:val="28"/>
              </w:rPr>
            </w:pPr>
            <w:r w:rsidRPr="00801E5C">
              <w:rPr>
                <w:b/>
                <w:sz w:val="28"/>
              </w:rPr>
              <w:t>Responsible for</w:t>
            </w:r>
          </w:p>
        </w:tc>
        <w:tc>
          <w:tcPr>
            <w:tcW w:w="7223" w:type="dxa"/>
          </w:tcPr>
          <w:p w14:paraId="1EFB8C03" w14:textId="77777777" w:rsidR="00F86730" w:rsidRPr="00801E5C" w:rsidRDefault="00D903C2" w:rsidP="00F86730">
            <w:pPr>
              <w:rPr>
                <w:sz w:val="28"/>
              </w:rPr>
            </w:pPr>
            <w:r>
              <w:rPr>
                <w:sz w:val="28"/>
              </w:rPr>
              <w:t>N/A</w:t>
            </w:r>
          </w:p>
        </w:tc>
      </w:tr>
      <w:tr w:rsidR="00F86730" w14:paraId="603CC660" w14:textId="77777777" w:rsidTr="00F86730">
        <w:tc>
          <w:tcPr>
            <w:tcW w:w="2405" w:type="dxa"/>
            <w:shd w:val="clear" w:color="auto" w:fill="D9D9D9" w:themeFill="background1" w:themeFillShade="D9"/>
          </w:tcPr>
          <w:p w14:paraId="62124345" w14:textId="77777777" w:rsidR="00F86730" w:rsidRPr="00801E5C" w:rsidRDefault="00F86730" w:rsidP="00F86730">
            <w:pPr>
              <w:rPr>
                <w:b/>
                <w:sz w:val="28"/>
              </w:rPr>
            </w:pPr>
            <w:r>
              <w:rPr>
                <w:b/>
                <w:sz w:val="28"/>
              </w:rPr>
              <w:t>Service/Team</w:t>
            </w:r>
          </w:p>
        </w:tc>
        <w:tc>
          <w:tcPr>
            <w:tcW w:w="7223" w:type="dxa"/>
          </w:tcPr>
          <w:p w14:paraId="71ABA097" w14:textId="77777777" w:rsidR="00F86730" w:rsidRDefault="00D903C2" w:rsidP="00F86730">
            <w:pPr>
              <w:rPr>
                <w:sz w:val="28"/>
              </w:rPr>
            </w:pPr>
            <w:r>
              <w:rPr>
                <w:sz w:val="28"/>
              </w:rPr>
              <w:t>Youth Employability Support (YES Project)</w:t>
            </w:r>
          </w:p>
        </w:tc>
      </w:tr>
      <w:tr w:rsidR="00F86730" w14:paraId="4844CB12" w14:textId="77777777" w:rsidTr="00F86730">
        <w:tc>
          <w:tcPr>
            <w:tcW w:w="2405" w:type="dxa"/>
            <w:shd w:val="clear" w:color="auto" w:fill="D9D9D9" w:themeFill="background1" w:themeFillShade="D9"/>
          </w:tcPr>
          <w:p w14:paraId="16934517" w14:textId="77777777" w:rsidR="00F86730" w:rsidRDefault="00F86730" w:rsidP="00F86730">
            <w:pPr>
              <w:rPr>
                <w:b/>
                <w:sz w:val="28"/>
              </w:rPr>
            </w:pPr>
            <w:r>
              <w:rPr>
                <w:b/>
                <w:sz w:val="28"/>
              </w:rPr>
              <w:t>Job Number</w:t>
            </w:r>
          </w:p>
        </w:tc>
        <w:tc>
          <w:tcPr>
            <w:tcW w:w="7223" w:type="dxa"/>
          </w:tcPr>
          <w:p w14:paraId="2ACE52A2" w14:textId="77777777" w:rsidR="00F86730" w:rsidRDefault="00D903C2" w:rsidP="00F86730">
            <w:pPr>
              <w:rPr>
                <w:sz w:val="28"/>
              </w:rPr>
            </w:pPr>
            <w:r>
              <w:rPr>
                <w:sz w:val="28"/>
              </w:rPr>
              <w:t>YES-HR-022</w:t>
            </w:r>
          </w:p>
        </w:tc>
      </w:tr>
      <w:tr w:rsidR="008D5593" w14:paraId="62F6E37D" w14:textId="77777777" w:rsidTr="00F86730">
        <w:tc>
          <w:tcPr>
            <w:tcW w:w="2405" w:type="dxa"/>
            <w:shd w:val="clear" w:color="auto" w:fill="D9D9D9" w:themeFill="background1" w:themeFillShade="D9"/>
          </w:tcPr>
          <w:p w14:paraId="122F508D" w14:textId="77777777" w:rsidR="008D5593" w:rsidRDefault="008D5593" w:rsidP="00F86730">
            <w:pPr>
              <w:rPr>
                <w:b/>
                <w:sz w:val="28"/>
              </w:rPr>
            </w:pPr>
            <w:r>
              <w:rPr>
                <w:b/>
                <w:sz w:val="28"/>
              </w:rPr>
              <w:t>Base/Location</w:t>
            </w:r>
          </w:p>
        </w:tc>
        <w:tc>
          <w:tcPr>
            <w:tcW w:w="7223" w:type="dxa"/>
          </w:tcPr>
          <w:p w14:paraId="3C31F0FD" w14:textId="77777777" w:rsidR="008D5593" w:rsidRDefault="008D5593" w:rsidP="00F86730">
            <w:pPr>
              <w:rPr>
                <w:sz w:val="28"/>
              </w:rPr>
            </w:pPr>
            <w:r>
              <w:rPr>
                <w:sz w:val="28"/>
              </w:rPr>
              <w:t>38 Leicester Road, Loughborough, Leicestershire, LE11 2AG</w:t>
            </w:r>
          </w:p>
        </w:tc>
      </w:tr>
    </w:tbl>
    <w:p w14:paraId="34821A7D" w14:textId="77777777"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4EFE0259" w14:textId="77777777" w:rsidTr="00801E5C">
        <w:tc>
          <w:tcPr>
            <w:tcW w:w="9628" w:type="dxa"/>
            <w:shd w:val="clear" w:color="auto" w:fill="BFBFBF" w:themeFill="background1" w:themeFillShade="BF"/>
          </w:tcPr>
          <w:p w14:paraId="7E3EEC59" w14:textId="77777777" w:rsidR="00801E5C" w:rsidRDefault="008D5593" w:rsidP="00F86730">
            <w:pPr>
              <w:jc w:val="both"/>
              <w:rPr>
                <w:sz w:val="24"/>
              </w:rPr>
            </w:pPr>
            <w:r>
              <w:rPr>
                <w:b/>
                <w:sz w:val="28"/>
              </w:rPr>
              <w:t>Job</w:t>
            </w:r>
            <w:r w:rsidR="00801E5C" w:rsidRPr="00801E5C">
              <w:rPr>
                <w:b/>
                <w:sz w:val="28"/>
              </w:rPr>
              <w:t xml:space="preserve"> Purpose</w:t>
            </w:r>
          </w:p>
        </w:tc>
      </w:tr>
      <w:tr w:rsidR="00801E5C" w14:paraId="785C54F4" w14:textId="77777777" w:rsidTr="00801E5C">
        <w:tc>
          <w:tcPr>
            <w:tcW w:w="9628" w:type="dxa"/>
          </w:tcPr>
          <w:p w14:paraId="2CC7BBEF" w14:textId="77777777" w:rsidR="005F5D9B" w:rsidRDefault="00231E3C" w:rsidP="00AE347C">
            <w:pPr>
              <w:jc w:val="both"/>
              <w:rPr>
                <w:rFonts w:ascii="Calibri" w:hAnsi="Calibri" w:cs="Arial"/>
                <w:sz w:val="24"/>
                <w:szCs w:val="24"/>
              </w:rPr>
            </w:pPr>
            <w:r>
              <w:rPr>
                <w:rFonts w:ascii="Calibri" w:hAnsi="Calibri" w:cs="Arial"/>
                <w:sz w:val="24"/>
                <w:szCs w:val="24"/>
              </w:rPr>
              <w:t>The YES P</w:t>
            </w:r>
            <w:r w:rsidR="00AE347C" w:rsidRPr="00AE347C">
              <w:rPr>
                <w:rFonts w:ascii="Calibri" w:hAnsi="Calibri" w:cs="Arial"/>
                <w:sz w:val="24"/>
                <w:szCs w:val="24"/>
              </w:rPr>
              <w:t xml:space="preserve">roject </w:t>
            </w:r>
            <w:r>
              <w:rPr>
                <w:rFonts w:ascii="Calibri" w:hAnsi="Calibri" w:cs="Arial"/>
                <w:sz w:val="24"/>
                <w:szCs w:val="24"/>
              </w:rPr>
              <w:t>i</w:t>
            </w:r>
            <w:r w:rsidR="00AE347C" w:rsidRPr="00AE347C">
              <w:rPr>
                <w:rFonts w:ascii="Calibri" w:hAnsi="Calibri" w:cs="Arial"/>
                <w:sz w:val="24"/>
                <w:szCs w:val="24"/>
              </w:rPr>
              <w:t xml:space="preserve">s a partnership of seven youth organisation and charities from across Leicester and Leicestershire. </w:t>
            </w:r>
            <w:r>
              <w:rPr>
                <w:rFonts w:ascii="Calibri" w:hAnsi="Calibri" w:cs="Arial"/>
                <w:sz w:val="24"/>
                <w:szCs w:val="24"/>
              </w:rPr>
              <w:t>The Bridge is one of those seven delivery partners</w:t>
            </w:r>
            <w:r w:rsidR="005F5D9B">
              <w:rPr>
                <w:rFonts w:ascii="Calibri" w:hAnsi="Calibri" w:cs="Arial"/>
                <w:sz w:val="24"/>
                <w:szCs w:val="24"/>
              </w:rPr>
              <w:t xml:space="preserve"> and the project is funded by The National Lottery Community Fund and the European Social Fund.  </w:t>
            </w:r>
          </w:p>
          <w:p w14:paraId="539E3238" w14:textId="77777777" w:rsidR="005F5D9B" w:rsidRDefault="005F5D9B" w:rsidP="00AE347C">
            <w:pPr>
              <w:jc w:val="both"/>
              <w:rPr>
                <w:rFonts w:ascii="Calibri" w:hAnsi="Calibri" w:cs="Arial"/>
                <w:sz w:val="24"/>
                <w:szCs w:val="24"/>
              </w:rPr>
            </w:pPr>
          </w:p>
          <w:p w14:paraId="51CACB60" w14:textId="60490CA1" w:rsidR="00AE347C" w:rsidRPr="00AE347C" w:rsidRDefault="00AE347C" w:rsidP="00AE347C">
            <w:pPr>
              <w:jc w:val="both"/>
              <w:rPr>
                <w:rFonts w:ascii="Calibri" w:hAnsi="Calibri" w:cs="Arial"/>
                <w:sz w:val="24"/>
                <w:szCs w:val="24"/>
              </w:rPr>
            </w:pPr>
            <w:r w:rsidRPr="00AE347C">
              <w:rPr>
                <w:rFonts w:ascii="Calibri" w:hAnsi="Calibri" w:cs="Arial"/>
                <w:sz w:val="24"/>
                <w:szCs w:val="24"/>
              </w:rPr>
              <w:t>Our purpose is to support local young people to overcome challenges and barriers that have prevented them from finding a job or seeking further education.</w:t>
            </w:r>
            <w:r w:rsidR="005F5D9B">
              <w:rPr>
                <w:rFonts w:ascii="Calibri" w:hAnsi="Calibri" w:cs="Arial"/>
                <w:sz w:val="24"/>
                <w:szCs w:val="24"/>
              </w:rPr>
              <w:t xml:space="preserve">  </w:t>
            </w:r>
            <w:r w:rsidRPr="00AE347C">
              <w:rPr>
                <w:rFonts w:ascii="Calibri" w:hAnsi="Calibri" w:cs="Arial"/>
                <w:sz w:val="24"/>
                <w:szCs w:val="24"/>
              </w:rPr>
              <w:t xml:space="preserve">Working together as the YES Project means we can offer a range of courses, and support services tailored to an </w:t>
            </w:r>
            <w:r w:rsidR="005F5D9B" w:rsidRPr="00AE347C">
              <w:rPr>
                <w:rFonts w:ascii="Calibri" w:hAnsi="Calibri" w:cs="Arial"/>
                <w:sz w:val="24"/>
                <w:szCs w:val="24"/>
              </w:rPr>
              <w:t>individual’s</w:t>
            </w:r>
            <w:r w:rsidRPr="00AE347C">
              <w:rPr>
                <w:rFonts w:ascii="Calibri" w:hAnsi="Calibri" w:cs="Arial"/>
                <w:sz w:val="24"/>
                <w:szCs w:val="24"/>
              </w:rPr>
              <w:t xml:space="preserve"> needs that will help them to:</w:t>
            </w:r>
          </w:p>
          <w:p w14:paraId="6BE8F917" w14:textId="77777777" w:rsidR="00AE347C" w:rsidRPr="00AE347C" w:rsidRDefault="00AE347C" w:rsidP="00AE347C">
            <w:pPr>
              <w:pStyle w:val="ListParagraph"/>
              <w:jc w:val="both"/>
              <w:rPr>
                <w:rFonts w:ascii="Calibri" w:hAnsi="Calibri" w:cs="Arial"/>
                <w:sz w:val="24"/>
                <w:szCs w:val="24"/>
              </w:rPr>
            </w:pPr>
          </w:p>
          <w:p w14:paraId="63A8D1AD" w14:textId="77777777" w:rsidR="00AE347C" w:rsidRPr="005F5D9B" w:rsidRDefault="00AE347C" w:rsidP="005F5D9B">
            <w:pPr>
              <w:pStyle w:val="ListParagraph"/>
              <w:numPr>
                <w:ilvl w:val="0"/>
                <w:numId w:val="6"/>
              </w:numPr>
              <w:jc w:val="both"/>
              <w:rPr>
                <w:rFonts w:ascii="Calibri" w:hAnsi="Calibri" w:cs="Arial"/>
                <w:sz w:val="24"/>
                <w:szCs w:val="24"/>
              </w:rPr>
            </w:pPr>
            <w:r w:rsidRPr="005F5D9B">
              <w:rPr>
                <w:rFonts w:ascii="Calibri" w:hAnsi="Calibri" w:cs="Arial"/>
                <w:sz w:val="24"/>
                <w:szCs w:val="24"/>
              </w:rPr>
              <w:t>Believe in themselves</w:t>
            </w:r>
          </w:p>
          <w:p w14:paraId="5E80D075" w14:textId="77777777" w:rsidR="00AE347C" w:rsidRPr="005F5D9B" w:rsidRDefault="00AE347C" w:rsidP="005F5D9B">
            <w:pPr>
              <w:pStyle w:val="ListParagraph"/>
              <w:numPr>
                <w:ilvl w:val="0"/>
                <w:numId w:val="6"/>
              </w:numPr>
              <w:jc w:val="both"/>
              <w:rPr>
                <w:rFonts w:ascii="Calibri" w:hAnsi="Calibri" w:cs="Arial"/>
                <w:sz w:val="24"/>
                <w:szCs w:val="24"/>
              </w:rPr>
            </w:pPr>
            <w:r w:rsidRPr="005F5D9B">
              <w:rPr>
                <w:rFonts w:ascii="Calibri" w:hAnsi="Calibri" w:cs="Arial"/>
                <w:sz w:val="24"/>
                <w:szCs w:val="24"/>
              </w:rPr>
              <w:t>Achieve qualifications and learn new skills</w:t>
            </w:r>
          </w:p>
          <w:p w14:paraId="0ECA06F4" w14:textId="77777777" w:rsidR="00AE347C" w:rsidRPr="005F5D9B" w:rsidRDefault="00AE347C" w:rsidP="005F5D9B">
            <w:pPr>
              <w:pStyle w:val="ListParagraph"/>
              <w:numPr>
                <w:ilvl w:val="0"/>
                <w:numId w:val="6"/>
              </w:numPr>
              <w:jc w:val="both"/>
              <w:rPr>
                <w:rFonts w:ascii="Calibri" w:hAnsi="Calibri" w:cs="Arial"/>
                <w:sz w:val="24"/>
                <w:szCs w:val="24"/>
              </w:rPr>
            </w:pPr>
            <w:r w:rsidRPr="005F5D9B">
              <w:rPr>
                <w:rFonts w:ascii="Calibri" w:hAnsi="Calibri" w:cs="Arial"/>
                <w:sz w:val="24"/>
                <w:szCs w:val="24"/>
              </w:rPr>
              <w:t>Prepare for work</w:t>
            </w:r>
          </w:p>
          <w:p w14:paraId="777DAE6B" w14:textId="77777777" w:rsidR="00AE347C" w:rsidRDefault="00AE347C" w:rsidP="00AE347C">
            <w:pPr>
              <w:pStyle w:val="ListParagraph"/>
              <w:ind w:left="0"/>
              <w:jc w:val="both"/>
              <w:rPr>
                <w:rFonts w:ascii="Calibri" w:hAnsi="Calibri" w:cs="Arial"/>
                <w:sz w:val="24"/>
                <w:szCs w:val="24"/>
              </w:rPr>
            </w:pPr>
          </w:p>
          <w:p w14:paraId="775939AB" w14:textId="77777777" w:rsidR="000D4FCC" w:rsidRDefault="00AE347C" w:rsidP="000D4FCC">
            <w:pPr>
              <w:pStyle w:val="ListParagraph"/>
              <w:ind w:left="0"/>
              <w:jc w:val="both"/>
              <w:rPr>
                <w:rFonts w:ascii="Calibri" w:hAnsi="Calibri" w:cs="Arial"/>
                <w:sz w:val="24"/>
                <w:szCs w:val="24"/>
              </w:rPr>
            </w:pPr>
            <w:r w:rsidRPr="00AE347C">
              <w:rPr>
                <w:rFonts w:ascii="Calibri" w:hAnsi="Calibri" w:cs="Arial"/>
                <w:sz w:val="24"/>
                <w:szCs w:val="24"/>
              </w:rPr>
              <w:t xml:space="preserve">Everyone enrolled on the YES Project will be assigned a </w:t>
            </w:r>
            <w:r w:rsidR="005F5D9B">
              <w:rPr>
                <w:rFonts w:ascii="Calibri" w:hAnsi="Calibri" w:cs="Arial"/>
                <w:sz w:val="24"/>
                <w:szCs w:val="24"/>
              </w:rPr>
              <w:t>key worker</w:t>
            </w:r>
            <w:r w:rsidRPr="00AE347C">
              <w:rPr>
                <w:rFonts w:ascii="Calibri" w:hAnsi="Calibri" w:cs="Arial"/>
                <w:sz w:val="24"/>
                <w:szCs w:val="24"/>
              </w:rPr>
              <w:t xml:space="preserve"> who will support them throughout their journey and help them to achieve their goals.</w:t>
            </w:r>
            <w:r w:rsidR="000D4FCC">
              <w:rPr>
                <w:rFonts w:ascii="Calibri" w:hAnsi="Calibri" w:cs="Arial"/>
                <w:sz w:val="24"/>
                <w:szCs w:val="24"/>
              </w:rPr>
              <w:t xml:space="preserve">  Working for The Bridge, the Young Person’s Support Worker will be a key worker for the YES Project and </w:t>
            </w:r>
            <w:r w:rsidR="000D4FCC" w:rsidRPr="000D4FCC">
              <w:rPr>
                <w:rFonts w:ascii="Calibri" w:hAnsi="Calibri" w:cs="Arial"/>
                <w:sz w:val="24"/>
                <w:szCs w:val="24"/>
              </w:rPr>
              <w:t xml:space="preserve">will </w:t>
            </w:r>
            <w:r w:rsidR="0095510E" w:rsidRPr="000D4FCC">
              <w:rPr>
                <w:rFonts w:ascii="Calibri" w:hAnsi="Calibri" w:cs="Arial"/>
                <w:sz w:val="24"/>
                <w:szCs w:val="24"/>
              </w:rPr>
              <w:t xml:space="preserve">provide specialist support to help young people with additional </w:t>
            </w:r>
            <w:r w:rsidR="001F759B" w:rsidRPr="000D4FCC">
              <w:rPr>
                <w:rFonts w:ascii="Calibri" w:hAnsi="Calibri" w:cs="Arial"/>
                <w:sz w:val="24"/>
                <w:szCs w:val="24"/>
              </w:rPr>
              <w:t>needs and</w:t>
            </w:r>
            <w:r w:rsidR="0095510E" w:rsidRPr="000D4FCC">
              <w:rPr>
                <w:rFonts w:ascii="Calibri" w:hAnsi="Calibri" w:cs="Arial"/>
                <w:sz w:val="24"/>
                <w:szCs w:val="24"/>
              </w:rPr>
              <w:t xml:space="preserve"> complex issues</w:t>
            </w:r>
            <w:r w:rsidR="000D4FCC">
              <w:rPr>
                <w:rFonts w:ascii="Calibri" w:hAnsi="Calibri" w:cs="Arial"/>
                <w:sz w:val="24"/>
                <w:szCs w:val="24"/>
              </w:rPr>
              <w:t>.</w:t>
            </w:r>
          </w:p>
          <w:p w14:paraId="4C34459A" w14:textId="77777777" w:rsidR="0095510E" w:rsidRPr="009A7C34" w:rsidRDefault="0095510E" w:rsidP="0095510E">
            <w:pPr>
              <w:pStyle w:val="p5"/>
              <w:spacing w:line="240" w:lineRule="auto"/>
              <w:ind w:left="0" w:firstLine="0"/>
              <w:jc w:val="both"/>
              <w:rPr>
                <w:rFonts w:ascii="Calibri" w:hAnsi="Calibri" w:cs="Arial"/>
              </w:rPr>
            </w:pPr>
          </w:p>
          <w:p w14:paraId="33A91376" w14:textId="66E3EF84" w:rsidR="00801E5C" w:rsidRPr="00C85138" w:rsidRDefault="0095510E" w:rsidP="00777EEC">
            <w:pPr>
              <w:jc w:val="both"/>
              <w:rPr>
                <w:rFonts w:ascii="Calibri" w:hAnsi="Calibri" w:cs="Calibri"/>
                <w:sz w:val="24"/>
                <w:szCs w:val="24"/>
              </w:rPr>
            </w:pPr>
            <w:r w:rsidRPr="009A7C34">
              <w:rPr>
                <w:rFonts w:ascii="Calibri" w:hAnsi="Calibri" w:cs="Arial"/>
                <w:sz w:val="24"/>
                <w:szCs w:val="24"/>
              </w:rPr>
              <w:t>Support will include, but not be limited to, finding suitable accommodation, preventing homelessness, accessing appropriate statutory services, improving health and wellbeing, mediation with family members and utilising appropriate harm reduction techniques.</w:t>
            </w:r>
          </w:p>
        </w:tc>
      </w:tr>
    </w:tbl>
    <w:p w14:paraId="09341299" w14:textId="6DA451BA"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5C06D99E" w14:textId="77777777" w:rsidTr="002E5800">
        <w:tc>
          <w:tcPr>
            <w:tcW w:w="9628" w:type="dxa"/>
            <w:shd w:val="clear" w:color="auto" w:fill="BFBFBF" w:themeFill="background1" w:themeFillShade="BF"/>
          </w:tcPr>
          <w:p w14:paraId="2DBA3819" w14:textId="77777777" w:rsidR="00801E5C" w:rsidRDefault="00C5284C" w:rsidP="00F86730">
            <w:pPr>
              <w:jc w:val="both"/>
              <w:rPr>
                <w:sz w:val="24"/>
              </w:rPr>
            </w:pPr>
            <w:r>
              <w:rPr>
                <w:b/>
                <w:sz w:val="28"/>
              </w:rPr>
              <w:lastRenderedPageBreak/>
              <w:t>Main Duties and Responsibilities</w:t>
            </w:r>
          </w:p>
        </w:tc>
      </w:tr>
      <w:tr w:rsidR="00777EEC" w14:paraId="1BAF4E2D" w14:textId="77777777" w:rsidTr="00777EEC">
        <w:tc>
          <w:tcPr>
            <w:tcW w:w="9628" w:type="dxa"/>
            <w:shd w:val="clear" w:color="auto" w:fill="D9D9D9" w:themeFill="background1" w:themeFillShade="D9"/>
          </w:tcPr>
          <w:p w14:paraId="0DD767A1" w14:textId="77777777" w:rsidR="00777EEC" w:rsidRPr="00777EEC" w:rsidRDefault="00777EEC" w:rsidP="00F86730">
            <w:pPr>
              <w:jc w:val="both"/>
              <w:rPr>
                <w:b/>
                <w:sz w:val="24"/>
              </w:rPr>
            </w:pPr>
            <w:r w:rsidRPr="00777EEC">
              <w:rPr>
                <w:b/>
                <w:sz w:val="24"/>
              </w:rPr>
              <w:t>Operational Responsibilities</w:t>
            </w:r>
          </w:p>
        </w:tc>
      </w:tr>
      <w:tr w:rsidR="00777EEC" w14:paraId="2A8B6CF4" w14:textId="77777777" w:rsidTr="00777EEC">
        <w:tc>
          <w:tcPr>
            <w:tcW w:w="9628" w:type="dxa"/>
          </w:tcPr>
          <w:p w14:paraId="2F56E127" w14:textId="77777777" w:rsidR="00B77FAA" w:rsidRDefault="0010792B" w:rsidP="00901FAE">
            <w:pPr>
              <w:pStyle w:val="ListParagraph"/>
              <w:numPr>
                <w:ilvl w:val="0"/>
                <w:numId w:val="4"/>
              </w:numPr>
              <w:jc w:val="both"/>
              <w:rPr>
                <w:rFonts w:ascii="Calibri" w:hAnsi="Calibri" w:cs="Arial"/>
                <w:bCs/>
                <w:sz w:val="24"/>
                <w:szCs w:val="24"/>
              </w:rPr>
            </w:pPr>
            <w:r w:rsidRPr="00B77FAA">
              <w:rPr>
                <w:rFonts w:ascii="Calibri" w:hAnsi="Calibri" w:cs="Arial"/>
                <w:bCs/>
                <w:sz w:val="24"/>
                <w:szCs w:val="24"/>
              </w:rPr>
              <w:t>To conduct in depth needs assessments with young people to support their participation with the YES Project</w:t>
            </w:r>
          </w:p>
          <w:p w14:paraId="33084F9D" w14:textId="77777777" w:rsidR="00901FAE" w:rsidRDefault="00B2018B" w:rsidP="00901FAE">
            <w:pPr>
              <w:pStyle w:val="ListParagraph"/>
              <w:numPr>
                <w:ilvl w:val="0"/>
                <w:numId w:val="4"/>
              </w:numPr>
              <w:jc w:val="both"/>
              <w:rPr>
                <w:rFonts w:ascii="Calibri" w:hAnsi="Calibri" w:cs="Arial"/>
                <w:bCs/>
                <w:sz w:val="24"/>
                <w:szCs w:val="24"/>
              </w:rPr>
            </w:pPr>
            <w:r w:rsidRPr="00B77FAA">
              <w:rPr>
                <w:rFonts w:ascii="Calibri" w:hAnsi="Calibri" w:cs="Arial"/>
                <w:bCs/>
                <w:sz w:val="24"/>
                <w:szCs w:val="24"/>
              </w:rPr>
              <w:t>To provide intensive one to one support with young people who have been identified as having additional discrete, complex needs, enabling them to engage and sustain participation with YES</w:t>
            </w:r>
          </w:p>
          <w:p w14:paraId="60E30796" w14:textId="77777777" w:rsidR="00B2018B" w:rsidRPr="00901FAE" w:rsidRDefault="00B2018B" w:rsidP="00901FAE">
            <w:pPr>
              <w:pStyle w:val="ListParagraph"/>
              <w:numPr>
                <w:ilvl w:val="0"/>
                <w:numId w:val="4"/>
              </w:numPr>
              <w:jc w:val="both"/>
              <w:rPr>
                <w:rFonts w:ascii="Calibri" w:hAnsi="Calibri" w:cs="Arial"/>
                <w:bCs/>
                <w:sz w:val="24"/>
                <w:szCs w:val="24"/>
              </w:rPr>
            </w:pPr>
            <w:r w:rsidRPr="00901FAE">
              <w:rPr>
                <w:rFonts w:ascii="Calibri" w:hAnsi="Calibri" w:cs="Arial"/>
                <w:bCs/>
                <w:sz w:val="24"/>
                <w:szCs w:val="24"/>
              </w:rPr>
              <w:t>Provision of intensive support will include, but not be limited to:</w:t>
            </w:r>
          </w:p>
          <w:p w14:paraId="00A6DF43" w14:textId="77777777" w:rsidR="00B2018B" w:rsidRPr="00B853AB" w:rsidRDefault="00B2018B" w:rsidP="00901FAE">
            <w:pPr>
              <w:pStyle w:val="ListParagraph"/>
              <w:rPr>
                <w:rFonts w:ascii="Calibri" w:hAnsi="Calibri" w:cs="Arial"/>
                <w:bCs/>
                <w:sz w:val="24"/>
                <w:szCs w:val="24"/>
              </w:rPr>
            </w:pPr>
          </w:p>
          <w:p w14:paraId="1CCFB1AF" w14:textId="77777777" w:rsidR="00B2018B" w:rsidRPr="00B853AB" w:rsidRDefault="00B2018B" w:rsidP="00901FAE">
            <w:pPr>
              <w:pStyle w:val="ListParagraph"/>
              <w:numPr>
                <w:ilvl w:val="1"/>
                <w:numId w:val="4"/>
              </w:numPr>
              <w:jc w:val="both"/>
              <w:rPr>
                <w:rFonts w:ascii="Calibri" w:hAnsi="Calibri" w:cs="Arial"/>
                <w:bCs/>
                <w:sz w:val="24"/>
                <w:szCs w:val="24"/>
              </w:rPr>
            </w:pPr>
            <w:r w:rsidRPr="00B853AB">
              <w:rPr>
                <w:rFonts w:ascii="Calibri" w:hAnsi="Calibri" w:cs="Arial"/>
                <w:bCs/>
                <w:sz w:val="24"/>
                <w:szCs w:val="24"/>
              </w:rPr>
              <w:t>Finding and accessing suitable accommodation</w:t>
            </w:r>
          </w:p>
          <w:p w14:paraId="66E03DB8" w14:textId="77777777" w:rsidR="00B2018B" w:rsidRPr="00B853AB" w:rsidRDefault="00B2018B" w:rsidP="00901FAE">
            <w:pPr>
              <w:pStyle w:val="ListParagraph"/>
              <w:numPr>
                <w:ilvl w:val="1"/>
                <w:numId w:val="4"/>
              </w:numPr>
              <w:jc w:val="both"/>
              <w:rPr>
                <w:rFonts w:ascii="Calibri" w:hAnsi="Calibri" w:cs="Arial"/>
                <w:bCs/>
                <w:sz w:val="24"/>
                <w:szCs w:val="24"/>
              </w:rPr>
            </w:pPr>
            <w:r w:rsidRPr="00B853AB">
              <w:rPr>
                <w:rFonts w:ascii="Calibri" w:hAnsi="Calibri" w:cs="Arial"/>
                <w:bCs/>
                <w:sz w:val="24"/>
                <w:szCs w:val="24"/>
              </w:rPr>
              <w:t>Homelessness prevention</w:t>
            </w:r>
          </w:p>
          <w:p w14:paraId="43ACBB8F" w14:textId="77777777" w:rsidR="00B2018B" w:rsidRPr="00B853AB" w:rsidRDefault="00B2018B" w:rsidP="00901FAE">
            <w:pPr>
              <w:pStyle w:val="ListParagraph"/>
              <w:numPr>
                <w:ilvl w:val="1"/>
                <w:numId w:val="4"/>
              </w:numPr>
              <w:jc w:val="both"/>
              <w:rPr>
                <w:rFonts w:ascii="Calibri" w:hAnsi="Calibri" w:cs="Arial"/>
                <w:bCs/>
                <w:sz w:val="24"/>
                <w:szCs w:val="24"/>
              </w:rPr>
            </w:pPr>
            <w:r w:rsidRPr="00B853AB">
              <w:rPr>
                <w:rFonts w:ascii="Calibri" w:hAnsi="Calibri" w:cs="Arial"/>
                <w:bCs/>
                <w:sz w:val="24"/>
                <w:szCs w:val="24"/>
              </w:rPr>
              <w:t>Mediation between the young person and their family</w:t>
            </w:r>
          </w:p>
          <w:p w14:paraId="54A43AE9" w14:textId="77777777" w:rsidR="00B2018B" w:rsidRPr="00B853AB" w:rsidRDefault="00B2018B" w:rsidP="00901FAE">
            <w:pPr>
              <w:pStyle w:val="ListParagraph"/>
              <w:numPr>
                <w:ilvl w:val="1"/>
                <w:numId w:val="4"/>
              </w:numPr>
              <w:jc w:val="both"/>
              <w:rPr>
                <w:rFonts w:ascii="Calibri" w:hAnsi="Calibri" w:cs="Arial"/>
                <w:bCs/>
                <w:sz w:val="24"/>
                <w:szCs w:val="24"/>
              </w:rPr>
            </w:pPr>
            <w:r w:rsidRPr="00B853AB">
              <w:rPr>
                <w:rFonts w:ascii="Calibri" w:hAnsi="Calibri" w:cs="Arial"/>
                <w:bCs/>
                <w:sz w:val="24"/>
                <w:szCs w:val="24"/>
              </w:rPr>
              <w:t>Referral to, and support to access, specialist statutory services</w:t>
            </w:r>
          </w:p>
          <w:p w14:paraId="3B74CDF1" w14:textId="77777777" w:rsidR="00B2018B" w:rsidRPr="00B853AB" w:rsidRDefault="00B2018B" w:rsidP="00901FAE">
            <w:pPr>
              <w:pStyle w:val="ListParagraph"/>
              <w:numPr>
                <w:ilvl w:val="1"/>
                <w:numId w:val="4"/>
              </w:numPr>
              <w:jc w:val="both"/>
              <w:rPr>
                <w:rFonts w:ascii="Calibri" w:hAnsi="Calibri" w:cs="Arial"/>
                <w:bCs/>
                <w:sz w:val="24"/>
                <w:szCs w:val="24"/>
              </w:rPr>
            </w:pPr>
            <w:r w:rsidRPr="00B853AB">
              <w:rPr>
                <w:rFonts w:ascii="Calibri" w:hAnsi="Calibri" w:cs="Arial"/>
                <w:bCs/>
                <w:sz w:val="24"/>
                <w:szCs w:val="24"/>
              </w:rPr>
              <w:t>Accompanying the young person to appointments</w:t>
            </w:r>
          </w:p>
          <w:p w14:paraId="0B0D7377" w14:textId="77777777" w:rsidR="00B2018B" w:rsidRPr="00B853AB" w:rsidRDefault="00B2018B" w:rsidP="00901FAE">
            <w:pPr>
              <w:pStyle w:val="ListParagraph"/>
              <w:numPr>
                <w:ilvl w:val="1"/>
                <w:numId w:val="4"/>
              </w:numPr>
              <w:jc w:val="both"/>
              <w:rPr>
                <w:rFonts w:ascii="Calibri" w:hAnsi="Calibri" w:cs="Arial"/>
                <w:bCs/>
                <w:sz w:val="24"/>
                <w:szCs w:val="24"/>
              </w:rPr>
            </w:pPr>
            <w:r w:rsidRPr="00B853AB">
              <w:rPr>
                <w:rFonts w:ascii="Calibri" w:hAnsi="Calibri" w:cs="Arial"/>
                <w:bCs/>
                <w:sz w:val="24"/>
                <w:szCs w:val="24"/>
              </w:rPr>
              <w:t>Building confidence, self-esteem and resilience</w:t>
            </w:r>
          </w:p>
          <w:p w14:paraId="1E1358B3" w14:textId="51687F0E" w:rsidR="00B2018B" w:rsidRPr="00B853AB" w:rsidRDefault="00B2018B" w:rsidP="00901FAE">
            <w:pPr>
              <w:pStyle w:val="ListParagraph"/>
              <w:numPr>
                <w:ilvl w:val="1"/>
                <w:numId w:val="4"/>
              </w:numPr>
              <w:jc w:val="both"/>
              <w:rPr>
                <w:rFonts w:ascii="Calibri" w:hAnsi="Calibri" w:cs="Arial"/>
                <w:bCs/>
                <w:sz w:val="24"/>
                <w:szCs w:val="24"/>
              </w:rPr>
            </w:pPr>
            <w:r w:rsidRPr="00B853AB">
              <w:rPr>
                <w:rFonts w:ascii="Calibri" w:hAnsi="Calibri" w:cs="Arial"/>
                <w:bCs/>
                <w:sz w:val="24"/>
                <w:szCs w:val="24"/>
              </w:rPr>
              <w:t xml:space="preserve">Improving a young </w:t>
            </w:r>
            <w:r w:rsidR="002E5800" w:rsidRPr="00B853AB">
              <w:rPr>
                <w:rFonts w:ascii="Calibri" w:hAnsi="Calibri" w:cs="Arial"/>
                <w:bCs/>
                <w:sz w:val="24"/>
                <w:szCs w:val="24"/>
              </w:rPr>
              <w:t>person’s</w:t>
            </w:r>
            <w:r w:rsidRPr="00B853AB">
              <w:rPr>
                <w:rFonts w:ascii="Calibri" w:hAnsi="Calibri" w:cs="Arial"/>
                <w:bCs/>
                <w:sz w:val="24"/>
                <w:szCs w:val="24"/>
              </w:rPr>
              <w:t xml:space="preserve"> health and wellbeing</w:t>
            </w:r>
          </w:p>
          <w:p w14:paraId="673E94E8" w14:textId="77777777" w:rsidR="00B2018B" w:rsidRPr="00B853AB" w:rsidRDefault="00B2018B" w:rsidP="00901FAE">
            <w:pPr>
              <w:pStyle w:val="ListParagraph"/>
              <w:ind w:left="1440"/>
              <w:jc w:val="both"/>
              <w:rPr>
                <w:rFonts w:ascii="Calibri" w:hAnsi="Calibri" w:cs="Arial"/>
                <w:bCs/>
                <w:sz w:val="24"/>
                <w:szCs w:val="24"/>
              </w:rPr>
            </w:pPr>
          </w:p>
          <w:p w14:paraId="66E365DD" w14:textId="77777777" w:rsidR="00901FAE" w:rsidRDefault="00AF5B24" w:rsidP="00901FAE">
            <w:pPr>
              <w:widowControl w:val="0"/>
              <w:numPr>
                <w:ilvl w:val="0"/>
                <w:numId w:val="4"/>
              </w:numPr>
              <w:tabs>
                <w:tab w:val="left" w:pos="776"/>
                <w:tab w:val="left" w:pos="1462"/>
              </w:tabs>
              <w:autoSpaceDE w:val="0"/>
              <w:autoSpaceDN w:val="0"/>
              <w:adjustRightInd w:val="0"/>
              <w:contextualSpacing/>
              <w:jc w:val="both"/>
              <w:rPr>
                <w:rFonts w:ascii="Calibri" w:hAnsi="Calibri" w:cs="Arial"/>
                <w:sz w:val="24"/>
                <w:szCs w:val="24"/>
              </w:rPr>
            </w:pPr>
            <w:r w:rsidRPr="00B853AB">
              <w:rPr>
                <w:rFonts w:ascii="Calibri" w:hAnsi="Calibri" w:cs="Arial"/>
                <w:sz w:val="24"/>
                <w:szCs w:val="24"/>
              </w:rPr>
              <w:t>To liaise closely with other YES Project partners, to develop and maintain professional relationships to ensure that young people receive a holistic and seamless service</w:t>
            </w:r>
          </w:p>
          <w:p w14:paraId="3CC7CA78" w14:textId="77777777" w:rsidR="00901FAE" w:rsidRDefault="00AF5B24" w:rsidP="00901FAE">
            <w:pPr>
              <w:widowControl w:val="0"/>
              <w:numPr>
                <w:ilvl w:val="0"/>
                <w:numId w:val="4"/>
              </w:numPr>
              <w:tabs>
                <w:tab w:val="left" w:pos="776"/>
                <w:tab w:val="left" w:pos="1457"/>
              </w:tabs>
              <w:autoSpaceDE w:val="0"/>
              <w:autoSpaceDN w:val="0"/>
              <w:adjustRightInd w:val="0"/>
              <w:contextualSpacing/>
              <w:jc w:val="both"/>
              <w:rPr>
                <w:rFonts w:ascii="Calibri" w:hAnsi="Calibri" w:cs="Arial"/>
                <w:sz w:val="24"/>
                <w:szCs w:val="24"/>
              </w:rPr>
            </w:pPr>
            <w:r w:rsidRPr="00901FAE">
              <w:rPr>
                <w:rFonts w:ascii="Calibri" w:hAnsi="Calibri" w:cs="Arial"/>
                <w:sz w:val="24"/>
                <w:szCs w:val="24"/>
              </w:rPr>
              <w:t>In conjunction with other delivery partners, to develop outreach/referral/signposting networks to actively promote the YES Project across Leicester and Leicestershire</w:t>
            </w:r>
          </w:p>
          <w:p w14:paraId="210DD404" w14:textId="7F885AE1" w:rsidR="00C5284C" w:rsidRPr="00BD7229" w:rsidRDefault="00AF5B24" w:rsidP="00BD7229">
            <w:pPr>
              <w:widowControl w:val="0"/>
              <w:numPr>
                <w:ilvl w:val="0"/>
                <w:numId w:val="4"/>
              </w:numPr>
              <w:tabs>
                <w:tab w:val="left" w:pos="776"/>
                <w:tab w:val="left" w:pos="1457"/>
              </w:tabs>
              <w:autoSpaceDE w:val="0"/>
              <w:autoSpaceDN w:val="0"/>
              <w:adjustRightInd w:val="0"/>
              <w:contextualSpacing/>
              <w:jc w:val="both"/>
              <w:rPr>
                <w:rFonts w:ascii="Calibri" w:hAnsi="Calibri" w:cs="Arial"/>
                <w:sz w:val="24"/>
                <w:szCs w:val="24"/>
              </w:rPr>
            </w:pPr>
            <w:r w:rsidRPr="00901FAE">
              <w:rPr>
                <w:rFonts w:ascii="Calibri" w:hAnsi="Calibri" w:cs="Arial"/>
                <w:sz w:val="24"/>
                <w:szCs w:val="24"/>
              </w:rPr>
              <w:t>To maintain and develop robust partnerships with various agencies in the voluntary and community sector and local authority departments such as: Adults and Communities, Children’s Social Care, Adult Social Care etc.</w:t>
            </w:r>
          </w:p>
        </w:tc>
      </w:tr>
      <w:tr w:rsidR="00BD7229" w14:paraId="046D1CD1" w14:textId="77777777" w:rsidTr="00BD7229">
        <w:tc>
          <w:tcPr>
            <w:tcW w:w="9628" w:type="dxa"/>
            <w:shd w:val="clear" w:color="auto" w:fill="D9D9D9" w:themeFill="background1" w:themeFillShade="D9"/>
          </w:tcPr>
          <w:p w14:paraId="7858DEED" w14:textId="2CD98CB3" w:rsidR="00BD7229" w:rsidRPr="00777EEC" w:rsidRDefault="00BD7229" w:rsidP="003E5A1F">
            <w:pPr>
              <w:jc w:val="both"/>
              <w:rPr>
                <w:b/>
                <w:sz w:val="24"/>
              </w:rPr>
            </w:pPr>
            <w:r>
              <w:rPr>
                <w:b/>
                <w:sz w:val="24"/>
              </w:rPr>
              <w:t xml:space="preserve">Other </w:t>
            </w:r>
            <w:r w:rsidR="000F4BE5">
              <w:rPr>
                <w:b/>
                <w:sz w:val="24"/>
              </w:rPr>
              <w:t>YES Project Duties</w:t>
            </w:r>
          </w:p>
        </w:tc>
      </w:tr>
      <w:tr w:rsidR="00BD7229" w14:paraId="4EF14AC2" w14:textId="77777777" w:rsidTr="00BD7229">
        <w:tc>
          <w:tcPr>
            <w:tcW w:w="9628" w:type="dxa"/>
          </w:tcPr>
          <w:p w14:paraId="68F734FF" w14:textId="77777777" w:rsidR="00BD7229" w:rsidRPr="004F732E" w:rsidRDefault="00BD7229" w:rsidP="00BD7229">
            <w:pPr>
              <w:pStyle w:val="ListParagraph"/>
              <w:numPr>
                <w:ilvl w:val="0"/>
                <w:numId w:val="5"/>
              </w:numPr>
              <w:jc w:val="both"/>
              <w:rPr>
                <w:rFonts w:cstheme="minorHAnsi"/>
                <w:sz w:val="24"/>
                <w:szCs w:val="24"/>
              </w:rPr>
            </w:pPr>
            <w:r>
              <w:rPr>
                <w:rFonts w:cstheme="minorHAnsi"/>
                <w:sz w:val="24"/>
                <w:szCs w:val="24"/>
              </w:rPr>
              <w:t>Effectively create, manage and close down participant files, ensuring all relevant paperwork and documentation is completed to guarantee compliance with funders</w:t>
            </w:r>
          </w:p>
          <w:p w14:paraId="6EB907E1" w14:textId="77777777" w:rsidR="00BD7229" w:rsidRPr="004F732E" w:rsidRDefault="00BD7229" w:rsidP="00BD7229">
            <w:pPr>
              <w:pStyle w:val="ListParagraph"/>
              <w:numPr>
                <w:ilvl w:val="0"/>
                <w:numId w:val="5"/>
              </w:numPr>
              <w:jc w:val="both"/>
              <w:rPr>
                <w:rFonts w:cstheme="minorHAnsi"/>
                <w:sz w:val="24"/>
                <w:szCs w:val="24"/>
              </w:rPr>
            </w:pPr>
            <w:r w:rsidRPr="004F732E">
              <w:rPr>
                <w:rFonts w:cstheme="minorHAnsi"/>
                <w:sz w:val="24"/>
                <w:szCs w:val="24"/>
              </w:rPr>
              <w:t>Complete individual KPI spreadsheet</w:t>
            </w:r>
            <w:r>
              <w:rPr>
                <w:rFonts w:cstheme="minorHAnsi"/>
                <w:sz w:val="24"/>
                <w:szCs w:val="24"/>
              </w:rPr>
              <w:t>s</w:t>
            </w:r>
            <w:r w:rsidRPr="004F732E">
              <w:rPr>
                <w:rFonts w:cstheme="minorHAnsi"/>
                <w:sz w:val="24"/>
                <w:szCs w:val="24"/>
              </w:rPr>
              <w:t>/action plan</w:t>
            </w:r>
            <w:r>
              <w:rPr>
                <w:rFonts w:cstheme="minorHAnsi"/>
                <w:sz w:val="24"/>
                <w:szCs w:val="24"/>
              </w:rPr>
              <w:t>s</w:t>
            </w:r>
            <w:r w:rsidRPr="004F732E">
              <w:rPr>
                <w:rFonts w:cstheme="minorHAnsi"/>
                <w:sz w:val="24"/>
                <w:szCs w:val="24"/>
              </w:rPr>
              <w:t xml:space="preserve"> in line with individual targets and project outcomes for monthly and quarterly monitoring reports</w:t>
            </w:r>
          </w:p>
          <w:p w14:paraId="4B703C7F" w14:textId="77777777" w:rsidR="00BD7229" w:rsidRDefault="00BD7229" w:rsidP="00BD7229">
            <w:pPr>
              <w:pStyle w:val="ListParagraph"/>
              <w:numPr>
                <w:ilvl w:val="0"/>
                <w:numId w:val="5"/>
              </w:numPr>
              <w:jc w:val="both"/>
              <w:rPr>
                <w:rFonts w:cstheme="minorHAnsi"/>
                <w:sz w:val="24"/>
                <w:szCs w:val="24"/>
              </w:rPr>
            </w:pPr>
            <w:r>
              <w:rPr>
                <w:rFonts w:cstheme="minorHAnsi"/>
                <w:sz w:val="24"/>
                <w:szCs w:val="24"/>
              </w:rPr>
              <w:t xml:space="preserve">Ensure the Charity Log </w:t>
            </w:r>
            <w:r w:rsidRPr="004F732E">
              <w:rPr>
                <w:rFonts w:cstheme="minorHAnsi"/>
                <w:sz w:val="24"/>
                <w:szCs w:val="24"/>
              </w:rPr>
              <w:t>CM</w:t>
            </w:r>
            <w:r>
              <w:rPr>
                <w:rFonts w:cstheme="minorHAnsi"/>
                <w:sz w:val="24"/>
                <w:szCs w:val="24"/>
              </w:rPr>
              <w:t>S</w:t>
            </w:r>
            <w:r w:rsidRPr="004F732E">
              <w:rPr>
                <w:rFonts w:cstheme="minorHAnsi"/>
                <w:sz w:val="24"/>
                <w:szCs w:val="24"/>
              </w:rPr>
              <w:t xml:space="preserve"> </w:t>
            </w:r>
            <w:r>
              <w:rPr>
                <w:rFonts w:cstheme="minorHAnsi"/>
                <w:sz w:val="24"/>
                <w:szCs w:val="24"/>
              </w:rPr>
              <w:t xml:space="preserve">is updated </w:t>
            </w:r>
            <w:r w:rsidRPr="004F732E">
              <w:rPr>
                <w:rFonts w:cstheme="minorHAnsi"/>
                <w:sz w:val="24"/>
                <w:szCs w:val="24"/>
              </w:rPr>
              <w:t>in a timely manner, ensuring accurate recording</w:t>
            </w:r>
          </w:p>
          <w:p w14:paraId="2BCDB46C" w14:textId="16D6BDC2" w:rsidR="00BD7229" w:rsidRDefault="00BD7229" w:rsidP="00BD7229">
            <w:pPr>
              <w:pStyle w:val="ListParagraph"/>
              <w:numPr>
                <w:ilvl w:val="0"/>
                <w:numId w:val="5"/>
              </w:numPr>
              <w:jc w:val="both"/>
              <w:rPr>
                <w:rFonts w:cstheme="minorHAnsi"/>
                <w:sz w:val="24"/>
                <w:szCs w:val="24"/>
              </w:rPr>
            </w:pPr>
            <w:r w:rsidRPr="008C6E2E">
              <w:rPr>
                <w:rFonts w:cstheme="minorHAnsi"/>
                <w:sz w:val="24"/>
                <w:szCs w:val="24"/>
              </w:rPr>
              <w:t xml:space="preserve">Support </w:t>
            </w:r>
            <w:r>
              <w:rPr>
                <w:rFonts w:cstheme="minorHAnsi"/>
                <w:sz w:val="24"/>
                <w:szCs w:val="24"/>
              </w:rPr>
              <w:t xml:space="preserve">the </w:t>
            </w:r>
            <w:r w:rsidRPr="008C6E2E">
              <w:rPr>
                <w:rFonts w:cstheme="minorHAnsi"/>
                <w:sz w:val="24"/>
                <w:szCs w:val="24"/>
              </w:rPr>
              <w:t xml:space="preserve">delivery of </w:t>
            </w:r>
            <w:r>
              <w:rPr>
                <w:rFonts w:cstheme="minorHAnsi"/>
                <w:sz w:val="24"/>
                <w:szCs w:val="24"/>
              </w:rPr>
              <w:t>the YES</w:t>
            </w:r>
            <w:r w:rsidRPr="008C6E2E">
              <w:rPr>
                <w:rFonts w:cstheme="minorHAnsi"/>
                <w:sz w:val="24"/>
                <w:szCs w:val="24"/>
              </w:rPr>
              <w:t xml:space="preserve"> </w:t>
            </w:r>
            <w:r>
              <w:rPr>
                <w:rFonts w:cstheme="minorHAnsi"/>
                <w:sz w:val="24"/>
                <w:szCs w:val="24"/>
              </w:rPr>
              <w:t>‘</w:t>
            </w:r>
            <w:r w:rsidRPr="008C6E2E">
              <w:rPr>
                <w:rFonts w:cstheme="minorHAnsi"/>
                <w:sz w:val="24"/>
                <w:szCs w:val="24"/>
              </w:rPr>
              <w:t>Equalities</w:t>
            </w:r>
            <w:r>
              <w:rPr>
                <w:rFonts w:cstheme="minorHAnsi"/>
                <w:sz w:val="24"/>
                <w:szCs w:val="24"/>
              </w:rPr>
              <w:t>’</w:t>
            </w:r>
            <w:r w:rsidRPr="008C6E2E">
              <w:rPr>
                <w:rFonts w:cstheme="minorHAnsi"/>
                <w:sz w:val="24"/>
                <w:szCs w:val="24"/>
              </w:rPr>
              <w:t xml:space="preserve"> </w:t>
            </w:r>
            <w:r>
              <w:rPr>
                <w:rFonts w:cstheme="minorHAnsi"/>
                <w:sz w:val="24"/>
                <w:szCs w:val="24"/>
              </w:rPr>
              <w:t xml:space="preserve">and ‘Sustainable Development’ </w:t>
            </w:r>
            <w:r w:rsidRPr="008C6E2E">
              <w:rPr>
                <w:rFonts w:cstheme="minorHAnsi"/>
                <w:sz w:val="24"/>
                <w:szCs w:val="24"/>
              </w:rPr>
              <w:t>Action Plan</w:t>
            </w:r>
            <w:r>
              <w:rPr>
                <w:rFonts w:cstheme="minorHAnsi"/>
                <w:sz w:val="24"/>
                <w:szCs w:val="24"/>
              </w:rPr>
              <w:t xml:space="preserve">s </w:t>
            </w:r>
          </w:p>
          <w:p w14:paraId="0D8F5660" w14:textId="4CC08728" w:rsidR="00BD7229" w:rsidRPr="008C6E2E" w:rsidRDefault="00BD7229" w:rsidP="00BD7229">
            <w:pPr>
              <w:pStyle w:val="ListParagraph"/>
              <w:numPr>
                <w:ilvl w:val="0"/>
                <w:numId w:val="5"/>
              </w:numPr>
              <w:jc w:val="both"/>
              <w:rPr>
                <w:rFonts w:cstheme="minorHAnsi"/>
                <w:sz w:val="24"/>
                <w:szCs w:val="24"/>
              </w:rPr>
            </w:pPr>
            <w:r>
              <w:rPr>
                <w:rFonts w:cstheme="minorHAnsi"/>
                <w:sz w:val="24"/>
                <w:szCs w:val="24"/>
              </w:rPr>
              <w:t>Attend regular YES Team Meetings, whilst ensuring meaningful contribution to the development and sustainability of the project</w:t>
            </w:r>
          </w:p>
        </w:tc>
      </w:tr>
      <w:tr w:rsidR="00801E5C" w14:paraId="3A6780DA" w14:textId="77777777" w:rsidTr="00777EEC">
        <w:tc>
          <w:tcPr>
            <w:tcW w:w="9628" w:type="dxa"/>
            <w:shd w:val="clear" w:color="auto" w:fill="D9D9D9" w:themeFill="background1" w:themeFillShade="D9"/>
          </w:tcPr>
          <w:p w14:paraId="41DF9BC4" w14:textId="77777777" w:rsidR="00801E5C" w:rsidRPr="00777EEC" w:rsidRDefault="00801E5C" w:rsidP="00F86730">
            <w:pPr>
              <w:jc w:val="both"/>
              <w:rPr>
                <w:b/>
                <w:sz w:val="24"/>
              </w:rPr>
            </w:pPr>
            <w:r w:rsidRPr="00777EEC">
              <w:rPr>
                <w:b/>
                <w:sz w:val="24"/>
              </w:rPr>
              <w:t>General</w:t>
            </w:r>
            <w:r w:rsidR="00777EEC" w:rsidRPr="00777EEC">
              <w:rPr>
                <w:b/>
                <w:sz w:val="24"/>
              </w:rPr>
              <w:t xml:space="preserve"> Organisational Duties</w:t>
            </w:r>
          </w:p>
        </w:tc>
      </w:tr>
      <w:tr w:rsidR="00801E5C" w14:paraId="01ED6EC1" w14:textId="77777777" w:rsidTr="00801E5C">
        <w:tc>
          <w:tcPr>
            <w:tcW w:w="9628" w:type="dxa"/>
          </w:tcPr>
          <w:p w14:paraId="0E2A0D14" w14:textId="77777777" w:rsidR="006E31C3" w:rsidRPr="006E31C3" w:rsidRDefault="006E31C3" w:rsidP="006E31C3">
            <w:pPr>
              <w:numPr>
                <w:ilvl w:val="0"/>
                <w:numId w:val="2"/>
              </w:numPr>
              <w:overflowPunct w:val="0"/>
              <w:autoSpaceDE w:val="0"/>
              <w:autoSpaceDN w:val="0"/>
              <w:adjustRightInd w:val="0"/>
              <w:jc w:val="both"/>
              <w:textAlignment w:val="baseline"/>
              <w:rPr>
                <w:rFonts w:ascii="Calibri" w:hAnsi="Calibri" w:cs="Arial"/>
                <w:sz w:val="24"/>
                <w:szCs w:val="24"/>
              </w:rPr>
            </w:pPr>
            <w:r w:rsidRPr="006E31C3">
              <w:rPr>
                <w:rFonts w:ascii="Calibri" w:hAnsi="Calibri" w:cs="Arial"/>
                <w:sz w:val="24"/>
                <w:szCs w:val="24"/>
              </w:rPr>
              <w:t>To comply with, and adhere to, The Bridge’s Quality Management System (QMS)</w:t>
            </w:r>
          </w:p>
          <w:p w14:paraId="7E446991" w14:textId="77777777" w:rsidR="006E31C3" w:rsidRPr="006E31C3" w:rsidRDefault="006E31C3" w:rsidP="006E31C3">
            <w:pPr>
              <w:numPr>
                <w:ilvl w:val="0"/>
                <w:numId w:val="2"/>
              </w:numPr>
              <w:overflowPunct w:val="0"/>
              <w:autoSpaceDE w:val="0"/>
              <w:autoSpaceDN w:val="0"/>
              <w:adjustRightInd w:val="0"/>
              <w:jc w:val="both"/>
              <w:textAlignment w:val="baseline"/>
              <w:rPr>
                <w:rFonts w:ascii="Calibri" w:hAnsi="Calibri" w:cs="Arial"/>
                <w:sz w:val="24"/>
                <w:szCs w:val="24"/>
              </w:rPr>
            </w:pPr>
            <w:r w:rsidRPr="006E31C3">
              <w:rPr>
                <w:rFonts w:ascii="Calibri" w:hAnsi="Calibri" w:cs="Arial"/>
                <w:sz w:val="24"/>
                <w:szCs w:val="24"/>
              </w:rPr>
              <w:t>To take responsibility for producing your own correspondence</w:t>
            </w:r>
          </w:p>
          <w:p w14:paraId="2192CD73" w14:textId="77777777" w:rsidR="006E31C3" w:rsidRPr="006E31C3" w:rsidRDefault="006E31C3" w:rsidP="006E31C3">
            <w:pPr>
              <w:numPr>
                <w:ilvl w:val="0"/>
                <w:numId w:val="2"/>
              </w:numPr>
              <w:overflowPunct w:val="0"/>
              <w:autoSpaceDE w:val="0"/>
              <w:autoSpaceDN w:val="0"/>
              <w:adjustRightInd w:val="0"/>
              <w:jc w:val="both"/>
              <w:textAlignment w:val="baseline"/>
              <w:rPr>
                <w:rFonts w:ascii="Calibri" w:hAnsi="Calibri" w:cs="Arial"/>
                <w:sz w:val="24"/>
                <w:szCs w:val="24"/>
              </w:rPr>
            </w:pPr>
            <w:r w:rsidRPr="006E31C3">
              <w:rPr>
                <w:rFonts w:ascii="Calibri" w:hAnsi="Calibri" w:cs="Arial"/>
                <w:sz w:val="24"/>
                <w:szCs w:val="24"/>
              </w:rPr>
              <w:t>To engage with, and contribute in, your own Training and Continual Professional Development</w:t>
            </w:r>
          </w:p>
          <w:p w14:paraId="17E06C4D" w14:textId="77777777" w:rsidR="006E31C3" w:rsidRPr="006E31C3" w:rsidRDefault="006E31C3" w:rsidP="006E31C3">
            <w:pPr>
              <w:numPr>
                <w:ilvl w:val="0"/>
                <w:numId w:val="2"/>
              </w:numPr>
              <w:overflowPunct w:val="0"/>
              <w:autoSpaceDE w:val="0"/>
              <w:autoSpaceDN w:val="0"/>
              <w:adjustRightInd w:val="0"/>
              <w:jc w:val="both"/>
              <w:textAlignment w:val="baseline"/>
              <w:rPr>
                <w:rFonts w:ascii="Calibri" w:hAnsi="Calibri" w:cs="Arial"/>
                <w:sz w:val="24"/>
                <w:szCs w:val="24"/>
              </w:rPr>
            </w:pPr>
            <w:r w:rsidRPr="006E31C3">
              <w:rPr>
                <w:rFonts w:ascii="Calibri" w:hAnsi="Calibri" w:cs="Arial"/>
                <w:sz w:val="24"/>
                <w:szCs w:val="24"/>
              </w:rPr>
              <w:t>To embed and exhibit The Bridge (East Midland) Values and Ethos in your work</w:t>
            </w:r>
          </w:p>
          <w:p w14:paraId="17A7904E" w14:textId="77777777" w:rsidR="006E31C3" w:rsidRPr="006E31C3" w:rsidRDefault="006E31C3" w:rsidP="006E31C3">
            <w:pPr>
              <w:numPr>
                <w:ilvl w:val="0"/>
                <w:numId w:val="2"/>
              </w:numPr>
              <w:overflowPunct w:val="0"/>
              <w:autoSpaceDE w:val="0"/>
              <w:autoSpaceDN w:val="0"/>
              <w:adjustRightInd w:val="0"/>
              <w:jc w:val="both"/>
              <w:textAlignment w:val="baseline"/>
              <w:rPr>
                <w:rFonts w:ascii="Calibri" w:hAnsi="Calibri" w:cs="Arial"/>
                <w:sz w:val="24"/>
                <w:szCs w:val="24"/>
              </w:rPr>
            </w:pPr>
            <w:r w:rsidRPr="006E31C3">
              <w:rPr>
                <w:rFonts w:ascii="Calibri" w:hAnsi="Calibri" w:cs="Arial"/>
                <w:sz w:val="24"/>
                <w:szCs w:val="24"/>
              </w:rPr>
              <w:t>To take responsibility for your own health and safety and that of others in line with The Bridge (East Midlands) Health and Safety Policy</w:t>
            </w:r>
          </w:p>
          <w:p w14:paraId="1257BB02" w14:textId="77777777" w:rsidR="006E31C3" w:rsidRPr="006E31C3" w:rsidRDefault="006E31C3" w:rsidP="006E31C3">
            <w:pPr>
              <w:numPr>
                <w:ilvl w:val="0"/>
                <w:numId w:val="2"/>
              </w:numPr>
              <w:overflowPunct w:val="0"/>
              <w:autoSpaceDE w:val="0"/>
              <w:autoSpaceDN w:val="0"/>
              <w:adjustRightInd w:val="0"/>
              <w:jc w:val="both"/>
              <w:textAlignment w:val="baseline"/>
              <w:rPr>
                <w:rFonts w:ascii="Calibri" w:hAnsi="Calibri" w:cs="Arial"/>
                <w:sz w:val="24"/>
                <w:szCs w:val="24"/>
              </w:rPr>
            </w:pPr>
            <w:r w:rsidRPr="006E31C3">
              <w:rPr>
                <w:rFonts w:ascii="Calibri" w:hAnsi="Calibri" w:cs="Arial"/>
                <w:sz w:val="24"/>
                <w:szCs w:val="24"/>
              </w:rPr>
              <w:t>To ensure you have an awareness of the categories of abuse, and the processes involved in the safeguarding of children, young people and vulnerable adults</w:t>
            </w:r>
          </w:p>
          <w:p w14:paraId="3A08E2B1" w14:textId="4AADF7D2" w:rsidR="00B853AB" w:rsidRPr="00C5284C" w:rsidRDefault="006E31C3" w:rsidP="006E31C3">
            <w:pPr>
              <w:numPr>
                <w:ilvl w:val="0"/>
                <w:numId w:val="2"/>
              </w:numPr>
              <w:overflowPunct w:val="0"/>
              <w:autoSpaceDE w:val="0"/>
              <w:autoSpaceDN w:val="0"/>
              <w:adjustRightInd w:val="0"/>
              <w:jc w:val="both"/>
              <w:textAlignment w:val="baseline"/>
              <w:rPr>
                <w:rFonts w:ascii="Calibri" w:hAnsi="Calibri" w:cs="Arial"/>
                <w:sz w:val="24"/>
                <w:szCs w:val="24"/>
              </w:rPr>
            </w:pPr>
            <w:r w:rsidRPr="006E31C3">
              <w:rPr>
                <w:rFonts w:ascii="Calibri" w:hAnsi="Calibri" w:cs="Arial"/>
                <w:sz w:val="24"/>
                <w:szCs w:val="24"/>
              </w:rPr>
              <w:t>To undertake other duties as required by the Chief Officer to ensure the smooth running of The Bridge</w:t>
            </w:r>
          </w:p>
        </w:tc>
      </w:tr>
      <w:tr w:rsidR="00C5284C" w14:paraId="078327C4" w14:textId="77777777" w:rsidTr="002E5800">
        <w:tc>
          <w:tcPr>
            <w:tcW w:w="9628" w:type="dxa"/>
            <w:shd w:val="clear" w:color="auto" w:fill="D9D9D9" w:themeFill="background1" w:themeFillShade="D9"/>
          </w:tcPr>
          <w:p w14:paraId="0CBE9C69" w14:textId="77777777" w:rsidR="00C5284C" w:rsidRPr="00777EEC" w:rsidRDefault="00C5284C" w:rsidP="00F86730">
            <w:pPr>
              <w:jc w:val="both"/>
              <w:rPr>
                <w:b/>
                <w:sz w:val="24"/>
              </w:rPr>
            </w:pPr>
            <w:r>
              <w:rPr>
                <w:b/>
                <w:sz w:val="24"/>
              </w:rPr>
              <w:t>Special Factors</w:t>
            </w:r>
          </w:p>
        </w:tc>
      </w:tr>
      <w:tr w:rsidR="00C5284C" w14:paraId="6850EDC2" w14:textId="77777777" w:rsidTr="002E5800">
        <w:tc>
          <w:tcPr>
            <w:tcW w:w="9628" w:type="dxa"/>
          </w:tcPr>
          <w:p w14:paraId="4D99367A" w14:textId="77777777" w:rsidR="00C5284C" w:rsidRDefault="00C5284C" w:rsidP="002E5800">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is required to work occasional evenings and weekends</w:t>
            </w:r>
          </w:p>
          <w:p w14:paraId="09CBBE51" w14:textId="77777777" w:rsidR="00C5284C" w:rsidRPr="00C5284C" w:rsidRDefault="00C5284C" w:rsidP="002E5800">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requires a full driving licence and a car</w:t>
            </w:r>
          </w:p>
        </w:tc>
      </w:tr>
      <w:tr w:rsidR="00B368F7" w14:paraId="12CDF24E" w14:textId="77777777" w:rsidTr="003E5A1F">
        <w:tc>
          <w:tcPr>
            <w:tcW w:w="9628" w:type="dxa"/>
            <w:shd w:val="clear" w:color="auto" w:fill="BFBFBF" w:themeFill="background1" w:themeFillShade="BF"/>
          </w:tcPr>
          <w:p w14:paraId="0D0BA537" w14:textId="77777777" w:rsidR="00B368F7" w:rsidRDefault="00B368F7" w:rsidP="003E5A1F">
            <w:pPr>
              <w:jc w:val="both"/>
              <w:rPr>
                <w:sz w:val="24"/>
              </w:rPr>
            </w:pPr>
            <w:r>
              <w:rPr>
                <w:b/>
                <w:sz w:val="28"/>
              </w:rPr>
              <w:lastRenderedPageBreak/>
              <w:t>Person Specification</w:t>
            </w:r>
          </w:p>
        </w:tc>
      </w:tr>
    </w:tbl>
    <w:p w14:paraId="01D568D4" w14:textId="77777777" w:rsidR="00B368F7" w:rsidRDefault="00B368F7" w:rsidP="00B368F7">
      <w:pPr>
        <w:spacing w:after="0" w:line="240" w:lineRule="auto"/>
        <w:jc w:val="center"/>
        <w:rPr>
          <w:sz w:val="24"/>
        </w:rPr>
      </w:pPr>
    </w:p>
    <w:p w14:paraId="7323379C" w14:textId="77777777" w:rsidR="00B368F7" w:rsidRPr="00864BDC" w:rsidRDefault="00B368F7" w:rsidP="00B368F7">
      <w:pPr>
        <w:spacing w:after="0" w:line="240" w:lineRule="auto"/>
        <w:jc w:val="both"/>
        <w:rPr>
          <w:sz w:val="24"/>
        </w:rPr>
      </w:pPr>
      <w:r w:rsidRPr="00864BDC">
        <w:rPr>
          <w:sz w:val="24"/>
        </w:rPr>
        <w:t>The following criteria define the relevant knowledge, experience, skills and abilities which a candidate will need to demonstrate throughout the recruitment process.  The criteria will be assessed at different stages including Application (A), Interview (I), Test (T) or Presentation (P).</w:t>
      </w:r>
    </w:p>
    <w:p w14:paraId="291952C6" w14:textId="77777777" w:rsidR="00B368F7" w:rsidRPr="00864BDC" w:rsidRDefault="00B368F7" w:rsidP="00B368F7">
      <w:pPr>
        <w:spacing w:after="0" w:line="240" w:lineRule="auto"/>
        <w:jc w:val="both"/>
        <w:rPr>
          <w:sz w:val="24"/>
        </w:rPr>
      </w:pPr>
    </w:p>
    <w:p w14:paraId="5A223356" w14:textId="77777777" w:rsidR="00BD7229" w:rsidRDefault="00B368F7" w:rsidP="00B368F7">
      <w:pPr>
        <w:spacing w:after="0" w:line="240" w:lineRule="auto"/>
        <w:jc w:val="both"/>
        <w:rPr>
          <w:sz w:val="24"/>
        </w:rPr>
      </w:pPr>
      <w:r w:rsidRPr="00864BDC">
        <w:rPr>
          <w:sz w:val="24"/>
        </w:rPr>
        <w:t xml:space="preserve">In the final column we have provided a weighting in respect of the importance of meeting each criterion; 1 necessary, 2 important, 3 essential. The answer to each criterion will then be scored by members of the shortlisting panel on a scale of 0 to 2; 0 unmet, 1 part-met and 2 met. </w:t>
      </w:r>
    </w:p>
    <w:p w14:paraId="56B0CE88" w14:textId="77777777" w:rsidR="00BD7229" w:rsidRDefault="00BD7229" w:rsidP="00B368F7">
      <w:pPr>
        <w:spacing w:after="0" w:line="240" w:lineRule="auto"/>
        <w:jc w:val="both"/>
        <w:rPr>
          <w:sz w:val="24"/>
        </w:rPr>
      </w:pPr>
    </w:p>
    <w:p w14:paraId="4B8948E0" w14:textId="6D184235" w:rsidR="00B368F7" w:rsidRDefault="00B368F7" w:rsidP="00B368F7">
      <w:pPr>
        <w:spacing w:after="0" w:line="240" w:lineRule="auto"/>
        <w:jc w:val="both"/>
        <w:rPr>
          <w:sz w:val="24"/>
        </w:rPr>
      </w:pPr>
      <w:r w:rsidRPr="00864BDC">
        <w:rPr>
          <w:sz w:val="24"/>
        </w:rPr>
        <w:t>The total score of the application form will then be converted into a percentage which will be assessed against the organisational shortlisting thresholds. Candidates who meet, or exceed, this threshold will be invited to interview.</w:t>
      </w:r>
    </w:p>
    <w:p w14:paraId="6CBD9622" w14:textId="77777777" w:rsidR="00B368F7" w:rsidRDefault="00B368F7" w:rsidP="00B368F7">
      <w:pPr>
        <w:spacing w:after="0" w:line="240" w:lineRule="auto"/>
        <w:jc w:val="both"/>
        <w:rPr>
          <w:sz w:val="24"/>
        </w:rPr>
      </w:pPr>
    </w:p>
    <w:tbl>
      <w:tblPr>
        <w:tblStyle w:val="TableGrid"/>
        <w:tblW w:w="0" w:type="auto"/>
        <w:tblLook w:val="04A0" w:firstRow="1" w:lastRow="0" w:firstColumn="1" w:lastColumn="0" w:noHBand="0" w:noVBand="1"/>
      </w:tblPr>
      <w:tblGrid>
        <w:gridCol w:w="691"/>
        <w:gridCol w:w="7109"/>
        <w:gridCol w:w="600"/>
        <w:gridCol w:w="600"/>
        <w:gridCol w:w="600"/>
      </w:tblGrid>
      <w:tr w:rsidR="00BD0DE1" w14:paraId="567B3EB7" w14:textId="77777777" w:rsidTr="00BD0DE1">
        <w:trPr>
          <w:trHeight w:val="288"/>
        </w:trPr>
        <w:tc>
          <w:tcPr>
            <w:tcW w:w="691" w:type="dxa"/>
            <w:shd w:val="clear" w:color="auto" w:fill="D9D9D9" w:themeFill="background1" w:themeFillShade="D9"/>
          </w:tcPr>
          <w:p w14:paraId="4035919C" w14:textId="77777777" w:rsidR="00BD0DE1" w:rsidRPr="00B33387" w:rsidRDefault="00BD0DE1" w:rsidP="003E5A1F">
            <w:pPr>
              <w:jc w:val="both"/>
              <w:rPr>
                <w:b/>
                <w:sz w:val="24"/>
              </w:rPr>
            </w:pPr>
            <w:r>
              <w:rPr>
                <w:b/>
                <w:sz w:val="24"/>
              </w:rPr>
              <w:t>No.</w:t>
            </w:r>
          </w:p>
        </w:tc>
        <w:tc>
          <w:tcPr>
            <w:tcW w:w="7109" w:type="dxa"/>
            <w:shd w:val="clear" w:color="auto" w:fill="D9D9D9" w:themeFill="background1" w:themeFillShade="D9"/>
          </w:tcPr>
          <w:p w14:paraId="621FDFDE" w14:textId="77777777" w:rsidR="00BD0DE1" w:rsidRPr="00B33387" w:rsidRDefault="00BD0DE1" w:rsidP="003E5A1F">
            <w:pPr>
              <w:jc w:val="both"/>
              <w:rPr>
                <w:b/>
                <w:sz w:val="24"/>
              </w:rPr>
            </w:pPr>
            <w:r w:rsidRPr="00B33387">
              <w:rPr>
                <w:b/>
                <w:sz w:val="24"/>
              </w:rPr>
              <w:t>Criteria</w:t>
            </w:r>
          </w:p>
        </w:tc>
        <w:tc>
          <w:tcPr>
            <w:tcW w:w="600" w:type="dxa"/>
            <w:shd w:val="clear" w:color="auto" w:fill="D9D9D9" w:themeFill="background1" w:themeFillShade="D9"/>
          </w:tcPr>
          <w:p w14:paraId="7BDC2B73" w14:textId="77777777" w:rsidR="00BD0DE1" w:rsidRPr="00B33387" w:rsidRDefault="00BD0DE1" w:rsidP="003E5A1F">
            <w:pPr>
              <w:jc w:val="center"/>
              <w:rPr>
                <w:b/>
                <w:sz w:val="24"/>
              </w:rPr>
            </w:pPr>
            <w:r w:rsidRPr="00B33387">
              <w:rPr>
                <w:b/>
                <w:sz w:val="24"/>
              </w:rPr>
              <w:t>A</w:t>
            </w:r>
          </w:p>
        </w:tc>
        <w:tc>
          <w:tcPr>
            <w:tcW w:w="600" w:type="dxa"/>
            <w:shd w:val="clear" w:color="auto" w:fill="D9D9D9" w:themeFill="background1" w:themeFillShade="D9"/>
          </w:tcPr>
          <w:p w14:paraId="487BD8E2" w14:textId="77777777" w:rsidR="00BD0DE1" w:rsidRPr="00B33387" w:rsidRDefault="00BD0DE1" w:rsidP="003E5A1F">
            <w:pPr>
              <w:jc w:val="center"/>
              <w:rPr>
                <w:b/>
                <w:sz w:val="24"/>
              </w:rPr>
            </w:pPr>
            <w:r w:rsidRPr="00B33387">
              <w:rPr>
                <w:b/>
                <w:sz w:val="24"/>
              </w:rPr>
              <w:t>I</w:t>
            </w:r>
          </w:p>
        </w:tc>
        <w:tc>
          <w:tcPr>
            <w:tcW w:w="600" w:type="dxa"/>
            <w:shd w:val="clear" w:color="auto" w:fill="D9D9D9" w:themeFill="background1" w:themeFillShade="D9"/>
          </w:tcPr>
          <w:p w14:paraId="523C248D" w14:textId="77777777" w:rsidR="00BD0DE1" w:rsidRPr="00B33387" w:rsidRDefault="00BD0DE1" w:rsidP="003E5A1F">
            <w:pPr>
              <w:jc w:val="center"/>
              <w:rPr>
                <w:b/>
                <w:sz w:val="24"/>
              </w:rPr>
            </w:pPr>
            <w:r w:rsidRPr="00B33387">
              <w:rPr>
                <w:b/>
                <w:sz w:val="24"/>
              </w:rPr>
              <w:t>T</w:t>
            </w:r>
            <w:r>
              <w:rPr>
                <w:b/>
                <w:sz w:val="24"/>
              </w:rPr>
              <w:t>/P</w:t>
            </w:r>
          </w:p>
        </w:tc>
      </w:tr>
      <w:tr w:rsidR="00BD0DE1" w14:paraId="62DBB6D9" w14:textId="77777777" w:rsidTr="00BD0DE1">
        <w:trPr>
          <w:trHeight w:val="593"/>
        </w:trPr>
        <w:tc>
          <w:tcPr>
            <w:tcW w:w="691" w:type="dxa"/>
            <w:shd w:val="clear" w:color="auto" w:fill="D9D9D9" w:themeFill="background1" w:themeFillShade="D9"/>
          </w:tcPr>
          <w:p w14:paraId="5121D47C" w14:textId="77777777" w:rsidR="00BD0DE1" w:rsidRDefault="00BD0DE1" w:rsidP="003E5A1F">
            <w:pPr>
              <w:jc w:val="center"/>
              <w:rPr>
                <w:sz w:val="24"/>
              </w:rPr>
            </w:pPr>
            <w:r>
              <w:rPr>
                <w:sz w:val="24"/>
              </w:rPr>
              <w:t>1</w:t>
            </w:r>
          </w:p>
        </w:tc>
        <w:tc>
          <w:tcPr>
            <w:tcW w:w="7109" w:type="dxa"/>
            <w:shd w:val="clear" w:color="auto" w:fill="F2F2F2" w:themeFill="background1" w:themeFillShade="F2"/>
          </w:tcPr>
          <w:p w14:paraId="19E1895E" w14:textId="518531D2" w:rsidR="00BD0DE1" w:rsidRDefault="00BD0DE1" w:rsidP="003E5A1F">
            <w:pPr>
              <w:jc w:val="both"/>
              <w:rPr>
                <w:sz w:val="24"/>
              </w:rPr>
            </w:pPr>
            <w:r>
              <w:rPr>
                <w:sz w:val="24"/>
              </w:rPr>
              <w:t>Substantial experience of working with young people under the age of twenty-four (24)</w:t>
            </w:r>
          </w:p>
        </w:tc>
        <w:tc>
          <w:tcPr>
            <w:tcW w:w="600" w:type="dxa"/>
            <w:shd w:val="clear" w:color="auto" w:fill="F2F2F2" w:themeFill="background1" w:themeFillShade="F2"/>
          </w:tcPr>
          <w:p w14:paraId="7C5F9956" w14:textId="4328944E" w:rsidR="00BD0DE1" w:rsidRDefault="00BD0DE1" w:rsidP="003E5A1F">
            <w:pPr>
              <w:jc w:val="center"/>
              <w:rPr>
                <w:sz w:val="24"/>
              </w:rPr>
            </w:pPr>
          </w:p>
        </w:tc>
        <w:tc>
          <w:tcPr>
            <w:tcW w:w="600" w:type="dxa"/>
          </w:tcPr>
          <w:p w14:paraId="7A8A6F4D" w14:textId="77777777" w:rsidR="00BD0DE1" w:rsidRDefault="00BD0DE1" w:rsidP="003E5A1F">
            <w:pPr>
              <w:jc w:val="center"/>
              <w:rPr>
                <w:sz w:val="24"/>
              </w:rPr>
            </w:pPr>
            <w:r>
              <w:rPr>
                <w:sz w:val="24"/>
              </w:rPr>
              <w:t>X</w:t>
            </w:r>
          </w:p>
        </w:tc>
        <w:tc>
          <w:tcPr>
            <w:tcW w:w="600" w:type="dxa"/>
          </w:tcPr>
          <w:p w14:paraId="2BDCCEF1" w14:textId="390D946E" w:rsidR="00BD0DE1" w:rsidRDefault="00BD0DE1" w:rsidP="003E5A1F">
            <w:pPr>
              <w:jc w:val="center"/>
              <w:rPr>
                <w:sz w:val="24"/>
              </w:rPr>
            </w:pPr>
          </w:p>
        </w:tc>
      </w:tr>
      <w:tr w:rsidR="00BD0DE1" w14:paraId="1F332F1F" w14:textId="77777777" w:rsidTr="00BD0DE1">
        <w:trPr>
          <w:trHeight w:val="576"/>
        </w:trPr>
        <w:tc>
          <w:tcPr>
            <w:tcW w:w="691" w:type="dxa"/>
            <w:shd w:val="clear" w:color="auto" w:fill="D9D9D9" w:themeFill="background1" w:themeFillShade="D9"/>
          </w:tcPr>
          <w:p w14:paraId="220298D9" w14:textId="77777777" w:rsidR="00BD0DE1" w:rsidRDefault="00BD0DE1" w:rsidP="00B368F7">
            <w:pPr>
              <w:jc w:val="center"/>
              <w:rPr>
                <w:sz w:val="24"/>
              </w:rPr>
            </w:pPr>
            <w:r>
              <w:rPr>
                <w:sz w:val="24"/>
              </w:rPr>
              <w:t>2</w:t>
            </w:r>
          </w:p>
        </w:tc>
        <w:tc>
          <w:tcPr>
            <w:tcW w:w="7109" w:type="dxa"/>
            <w:shd w:val="clear" w:color="auto" w:fill="F2F2F2" w:themeFill="background1" w:themeFillShade="F2"/>
          </w:tcPr>
          <w:p w14:paraId="58AE7387" w14:textId="48260419" w:rsidR="00BD0DE1" w:rsidRDefault="00BD0DE1" w:rsidP="00B368F7">
            <w:pPr>
              <w:jc w:val="both"/>
              <w:rPr>
                <w:sz w:val="24"/>
              </w:rPr>
            </w:pPr>
            <w:r>
              <w:rPr>
                <w:sz w:val="24"/>
              </w:rPr>
              <w:t>Substantial and demonstrable experience of assessing the needs of individuals and identifying their support needs</w:t>
            </w:r>
          </w:p>
        </w:tc>
        <w:tc>
          <w:tcPr>
            <w:tcW w:w="600" w:type="dxa"/>
            <w:shd w:val="clear" w:color="auto" w:fill="F2F2F2" w:themeFill="background1" w:themeFillShade="F2"/>
          </w:tcPr>
          <w:p w14:paraId="3792F2D0" w14:textId="00E5FE39" w:rsidR="00BD0DE1" w:rsidRDefault="00BD0DE1" w:rsidP="00B368F7">
            <w:pPr>
              <w:jc w:val="center"/>
              <w:rPr>
                <w:sz w:val="24"/>
              </w:rPr>
            </w:pPr>
          </w:p>
        </w:tc>
        <w:tc>
          <w:tcPr>
            <w:tcW w:w="600" w:type="dxa"/>
          </w:tcPr>
          <w:p w14:paraId="1B79D734" w14:textId="77777777" w:rsidR="00BD0DE1" w:rsidRDefault="00BD0DE1" w:rsidP="00B368F7">
            <w:pPr>
              <w:jc w:val="center"/>
              <w:rPr>
                <w:sz w:val="24"/>
              </w:rPr>
            </w:pPr>
            <w:r>
              <w:rPr>
                <w:sz w:val="24"/>
              </w:rPr>
              <w:t>X</w:t>
            </w:r>
          </w:p>
        </w:tc>
        <w:tc>
          <w:tcPr>
            <w:tcW w:w="600" w:type="dxa"/>
          </w:tcPr>
          <w:p w14:paraId="2C419DDD" w14:textId="56E36E00" w:rsidR="00BD0DE1" w:rsidRDefault="00BD0DE1" w:rsidP="00B368F7">
            <w:pPr>
              <w:jc w:val="center"/>
              <w:rPr>
                <w:sz w:val="24"/>
              </w:rPr>
            </w:pPr>
            <w:r>
              <w:rPr>
                <w:sz w:val="24"/>
              </w:rPr>
              <w:t>X</w:t>
            </w:r>
          </w:p>
        </w:tc>
      </w:tr>
      <w:tr w:rsidR="00BD0DE1" w14:paraId="33EF0AC2" w14:textId="77777777" w:rsidTr="00BD0DE1">
        <w:trPr>
          <w:trHeight w:val="576"/>
        </w:trPr>
        <w:tc>
          <w:tcPr>
            <w:tcW w:w="691" w:type="dxa"/>
            <w:shd w:val="clear" w:color="auto" w:fill="D9D9D9" w:themeFill="background1" w:themeFillShade="D9"/>
          </w:tcPr>
          <w:p w14:paraId="0507F5B0" w14:textId="37FB71AE" w:rsidR="00BD0DE1" w:rsidRDefault="008C0E81" w:rsidP="00B368F7">
            <w:pPr>
              <w:jc w:val="center"/>
              <w:rPr>
                <w:sz w:val="24"/>
              </w:rPr>
            </w:pPr>
            <w:r>
              <w:rPr>
                <w:sz w:val="24"/>
              </w:rPr>
              <w:t>3</w:t>
            </w:r>
          </w:p>
        </w:tc>
        <w:tc>
          <w:tcPr>
            <w:tcW w:w="7109" w:type="dxa"/>
            <w:shd w:val="clear" w:color="auto" w:fill="F2F2F2" w:themeFill="background1" w:themeFillShade="F2"/>
          </w:tcPr>
          <w:p w14:paraId="1D690CC6" w14:textId="46595FF1" w:rsidR="00BD0DE1" w:rsidRDefault="00BD0DE1" w:rsidP="004F7008">
            <w:pPr>
              <w:jc w:val="both"/>
              <w:rPr>
                <w:sz w:val="24"/>
              </w:rPr>
            </w:pPr>
            <w:r>
              <w:rPr>
                <w:sz w:val="24"/>
              </w:rPr>
              <w:t>Thorough working knowledge of the social issues affecting young people who are not in employment/education or training</w:t>
            </w:r>
          </w:p>
        </w:tc>
        <w:tc>
          <w:tcPr>
            <w:tcW w:w="600" w:type="dxa"/>
            <w:shd w:val="clear" w:color="auto" w:fill="F2F2F2" w:themeFill="background1" w:themeFillShade="F2"/>
          </w:tcPr>
          <w:p w14:paraId="621BC55E" w14:textId="664C64E2" w:rsidR="00BD0DE1" w:rsidRDefault="00BD0DE1" w:rsidP="00B368F7">
            <w:pPr>
              <w:jc w:val="center"/>
              <w:rPr>
                <w:sz w:val="24"/>
              </w:rPr>
            </w:pPr>
          </w:p>
        </w:tc>
        <w:tc>
          <w:tcPr>
            <w:tcW w:w="600" w:type="dxa"/>
          </w:tcPr>
          <w:p w14:paraId="5E6FA540" w14:textId="45C8BFFF" w:rsidR="00BD0DE1" w:rsidRDefault="00BD0DE1" w:rsidP="00B368F7">
            <w:pPr>
              <w:jc w:val="center"/>
              <w:rPr>
                <w:sz w:val="24"/>
              </w:rPr>
            </w:pPr>
            <w:r>
              <w:rPr>
                <w:sz w:val="24"/>
              </w:rPr>
              <w:t>X</w:t>
            </w:r>
          </w:p>
        </w:tc>
        <w:tc>
          <w:tcPr>
            <w:tcW w:w="600" w:type="dxa"/>
          </w:tcPr>
          <w:p w14:paraId="7C237CFC" w14:textId="31E1954A" w:rsidR="00BD0DE1" w:rsidRDefault="00BD0DE1" w:rsidP="00B368F7">
            <w:pPr>
              <w:jc w:val="center"/>
              <w:rPr>
                <w:sz w:val="24"/>
              </w:rPr>
            </w:pPr>
            <w:r>
              <w:rPr>
                <w:sz w:val="24"/>
              </w:rPr>
              <w:t>X</w:t>
            </w:r>
          </w:p>
        </w:tc>
      </w:tr>
      <w:tr w:rsidR="00BD0DE1" w14:paraId="4442ED87" w14:textId="77777777" w:rsidTr="00BD0DE1">
        <w:trPr>
          <w:trHeight w:val="593"/>
        </w:trPr>
        <w:tc>
          <w:tcPr>
            <w:tcW w:w="691" w:type="dxa"/>
            <w:shd w:val="clear" w:color="auto" w:fill="D9D9D9" w:themeFill="background1" w:themeFillShade="D9"/>
          </w:tcPr>
          <w:p w14:paraId="747C76C9" w14:textId="22DB11AF" w:rsidR="00BD0DE1" w:rsidRDefault="008C0E81" w:rsidP="00B368F7">
            <w:pPr>
              <w:jc w:val="center"/>
              <w:rPr>
                <w:sz w:val="24"/>
              </w:rPr>
            </w:pPr>
            <w:r>
              <w:rPr>
                <w:sz w:val="24"/>
              </w:rPr>
              <w:t>4</w:t>
            </w:r>
          </w:p>
        </w:tc>
        <w:tc>
          <w:tcPr>
            <w:tcW w:w="7109" w:type="dxa"/>
            <w:shd w:val="clear" w:color="auto" w:fill="F2F2F2" w:themeFill="background1" w:themeFillShade="F2"/>
          </w:tcPr>
          <w:p w14:paraId="65E5F3B4" w14:textId="77777777" w:rsidR="00BD0DE1" w:rsidRDefault="00BD0DE1" w:rsidP="00B368F7">
            <w:pPr>
              <w:jc w:val="both"/>
              <w:rPr>
                <w:sz w:val="24"/>
              </w:rPr>
            </w:pPr>
            <w:r>
              <w:rPr>
                <w:sz w:val="24"/>
              </w:rPr>
              <w:t>A working knowledge of Windows and software, including Microsoft Office &amp; other complex CRM databases (e.g. Charity Log)</w:t>
            </w:r>
          </w:p>
        </w:tc>
        <w:tc>
          <w:tcPr>
            <w:tcW w:w="600" w:type="dxa"/>
            <w:shd w:val="clear" w:color="auto" w:fill="F2F2F2" w:themeFill="background1" w:themeFillShade="F2"/>
          </w:tcPr>
          <w:p w14:paraId="41C335CE" w14:textId="25D26AF0" w:rsidR="00BD0DE1" w:rsidRDefault="00BD0DE1" w:rsidP="00B368F7">
            <w:pPr>
              <w:jc w:val="center"/>
              <w:rPr>
                <w:sz w:val="24"/>
              </w:rPr>
            </w:pPr>
          </w:p>
        </w:tc>
        <w:tc>
          <w:tcPr>
            <w:tcW w:w="600" w:type="dxa"/>
          </w:tcPr>
          <w:p w14:paraId="78F3EB83" w14:textId="77777777" w:rsidR="00BD0DE1" w:rsidRDefault="00BD0DE1" w:rsidP="00B368F7">
            <w:pPr>
              <w:jc w:val="center"/>
              <w:rPr>
                <w:sz w:val="24"/>
              </w:rPr>
            </w:pPr>
          </w:p>
        </w:tc>
        <w:tc>
          <w:tcPr>
            <w:tcW w:w="600" w:type="dxa"/>
          </w:tcPr>
          <w:p w14:paraId="409EEBF6" w14:textId="697EF3BC" w:rsidR="00BD0DE1" w:rsidRDefault="00BD0DE1" w:rsidP="00B368F7">
            <w:pPr>
              <w:jc w:val="center"/>
              <w:rPr>
                <w:sz w:val="24"/>
              </w:rPr>
            </w:pPr>
          </w:p>
        </w:tc>
      </w:tr>
      <w:tr w:rsidR="00BD0DE1" w14:paraId="1FE2F94E" w14:textId="77777777" w:rsidTr="00BD0DE1">
        <w:trPr>
          <w:trHeight w:val="593"/>
        </w:trPr>
        <w:tc>
          <w:tcPr>
            <w:tcW w:w="691" w:type="dxa"/>
            <w:shd w:val="clear" w:color="auto" w:fill="D9D9D9" w:themeFill="background1" w:themeFillShade="D9"/>
          </w:tcPr>
          <w:p w14:paraId="569F2916" w14:textId="4E65D9C8" w:rsidR="00BD0DE1" w:rsidRDefault="008C0E81" w:rsidP="00B368F7">
            <w:pPr>
              <w:jc w:val="center"/>
              <w:rPr>
                <w:sz w:val="24"/>
              </w:rPr>
            </w:pPr>
            <w:r>
              <w:rPr>
                <w:sz w:val="24"/>
              </w:rPr>
              <w:t>5</w:t>
            </w:r>
          </w:p>
        </w:tc>
        <w:tc>
          <w:tcPr>
            <w:tcW w:w="7109" w:type="dxa"/>
            <w:shd w:val="clear" w:color="auto" w:fill="F2F2F2" w:themeFill="background1" w:themeFillShade="F2"/>
          </w:tcPr>
          <w:p w14:paraId="32F8110D" w14:textId="18723879" w:rsidR="00BD0DE1" w:rsidRDefault="00BD0DE1" w:rsidP="00B368F7">
            <w:pPr>
              <w:jc w:val="both"/>
              <w:rPr>
                <w:sz w:val="24"/>
              </w:rPr>
            </w:pPr>
            <w:r>
              <w:rPr>
                <w:sz w:val="24"/>
              </w:rPr>
              <w:t>Substantial and demonstrable experience of engaging and maintaining professional relationships with hard to reach clients</w:t>
            </w:r>
          </w:p>
        </w:tc>
        <w:tc>
          <w:tcPr>
            <w:tcW w:w="600" w:type="dxa"/>
            <w:shd w:val="clear" w:color="auto" w:fill="F2F2F2" w:themeFill="background1" w:themeFillShade="F2"/>
          </w:tcPr>
          <w:p w14:paraId="71B2F450" w14:textId="000F5FBC" w:rsidR="00BD0DE1" w:rsidRDefault="00BD0DE1" w:rsidP="00B368F7">
            <w:pPr>
              <w:jc w:val="center"/>
              <w:rPr>
                <w:sz w:val="24"/>
              </w:rPr>
            </w:pPr>
          </w:p>
        </w:tc>
        <w:tc>
          <w:tcPr>
            <w:tcW w:w="600" w:type="dxa"/>
          </w:tcPr>
          <w:p w14:paraId="7953A409" w14:textId="77777777" w:rsidR="00BD0DE1" w:rsidRDefault="00BD0DE1" w:rsidP="00B368F7">
            <w:pPr>
              <w:jc w:val="center"/>
              <w:rPr>
                <w:sz w:val="24"/>
              </w:rPr>
            </w:pPr>
            <w:r>
              <w:rPr>
                <w:sz w:val="24"/>
              </w:rPr>
              <w:t>X</w:t>
            </w:r>
          </w:p>
        </w:tc>
        <w:tc>
          <w:tcPr>
            <w:tcW w:w="600" w:type="dxa"/>
          </w:tcPr>
          <w:p w14:paraId="18C8DA98" w14:textId="77777777" w:rsidR="00BD0DE1" w:rsidRDefault="00BD0DE1" w:rsidP="00B368F7">
            <w:pPr>
              <w:jc w:val="center"/>
              <w:rPr>
                <w:sz w:val="24"/>
              </w:rPr>
            </w:pPr>
          </w:p>
        </w:tc>
      </w:tr>
      <w:tr w:rsidR="00BD0DE1" w14:paraId="1AA28F44" w14:textId="77777777" w:rsidTr="00BD0DE1">
        <w:trPr>
          <w:trHeight w:val="576"/>
        </w:trPr>
        <w:tc>
          <w:tcPr>
            <w:tcW w:w="691" w:type="dxa"/>
            <w:shd w:val="clear" w:color="auto" w:fill="D9D9D9" w:themeFill="background1" w:themeFillShade="D9"/>
          </w:tcPr>
          <w:p w14:paraId="6182DDE8" w14:textId="7A572CB2" w:rsidR="00BD0DE1" w:rsidRDefault="008C0E81" w:rsidP="00B368F7">
            <w:pPr>
              <w:jc w:val="center"/>
              <w:rPr>
                <w:sz w:val="24"/>
              </w:rPr>
            </w:pPr>
            <w:r>
              <w:rPr>
                <w:sz w:val="24"/>
              </w:rPr>
              <w:t>6</w:t>
            </w:r>
          </w:p>
        </w:tc>
        <w:tc>
          <w:tcPr>
            <w:tcW w:w="7109" w:type="dxa"/>
            <w:shd w:val="clear" w:color="auto" w:fill="F2F2F2" w:themeFill="background1" w:themeFillShade="F2"/>
          </w:tcPr>
          <w:p w14:paraId="7487EC70" w14:textId="77777777" w:rsidR="00BD0DE1" w:rsidRDefault="00BD0DE1" w:rsidP="00B368F7">
            <w:pPr>
              <w:jc w:val="both"/>
              <w:rPr>
                <w:sz w:val="24"/>
              </w:rPr>
            </w:pPr>
            <w:r>
              <w:rPr>
                <w:sz w:val="24"/>
              </w:rPr>
              <w:t>Ability to engage with a broad range of professionals utilising high level written and verbal communication skills</w:t>
            </w:r>
          </w:p>
        </w:tc>
        <w:tc>
          <w:tcPr>
            <w:tcW w:w="600" w:type="dxa"/>
            <w:shd w:val="clear" w:color="auto" w:fill="F2F2F2" w:themeFill="background1" w:themeFillShade="F2"/>
          </w:tcPr>
          <w:p w14:paraId="1D8678C1" w14:textId="77777777" w:rsidR="00BD0DE1" w:rsidRDefault="00BD0DE1" w:rsidP="00B368F7">
            <w:pPr>
              <w:jc w:val="center"/>
              <w:rPr>
                <w:sz w:val="24"/>
              </w:rPr>
            </w:pPr>
            <w:r>
              <w:rPr>
                <w:sz w:val="24"/>
              </w:rPr>
              <w:t>X</w:t>
            </w:r>
          </w:p>
        </w:tc>
        <w:tc>
          <w:tcPr>
            <w:tcW w:w="600" w:type="dxa"/>
          </w:tcPr>
          <w:p w14:paraId="4AD34586" w14:textId="77777777" w:rsidR="00BD0DE1" w:rsidRDefault="00BD0DE1" w:rsidP="00B368F7">
            <w:pPr>
              <w:jc w:val="center"/>
              <w:rPr>
                <w:sz w:val="24"/>
              </w:rPr>
            </w:pPr>
            <w:r>
              <w:rPr>
                <w:sz w:val="24"/>
              </w:rPr>
              <w:t>X</w:t>
            </w:r>
          </w:p>
        </w:tc>
        <w:tc>
          <w:tcPr>
            <w:tcW w:w="600" w:type="dxa"/>
          </w:tcPr>
          <w:p w14:paraId="261F1579" w14:textId="77777777" w:rsidR="00BD0DE1" w:rsidRDefault="00BD0DE1" w:rsidP="00B368F7">
            <w:pPr>
              <w:jc w:val="center"/>
              <w:rPr>
                <w:sz w:val="24"/>
              </w:rPr>
            </w:pPr>
          </w:p>
        </w:tc>
      </w:tr>
      <w:tr w:rsidR="00BD0DE1" w14:paraId="7C4C681D" w14:textId="77777777" w:rsidTr="00BD0DE1">
        <w:trPr>
          <w:trHeight w:val="593"/>
        </w:trPr>
        <w:tc>
          <w:tcPr>
            <w:tcW w:w="691" w:type="dxa"/>
            <w:shd w:val="clear" w:color="auto" w:fill="D9D9D9" w:themeFill="background1" w:themeFillShade="D9"/>
          </w:tcPr>
          <w:p w14:paraId="695EEC9B" w14:textId="17699CB7" w:rsidR="00BD0DE1" w:rsidRDefault="008C0E81" w:rsidP="00B368F7">
            <w:pPr>
              <w:jc w:val="center"/>
              <w:rPr>
                <w:sz w:val="24"/>
              </w:rPr>
            </w:pPr>
            <w:r>
              <w:rPr>
                <w:sz w:val="24"/>
              </w:rPr>
              <w:t>7</w:t>
            </w:r>
          </w:p>
        </w:tc>
        <w:tc>
          <w:tcPr>
            <w:tcW w:w="7109" w:type="dxa"/>
            <w:shd w:val="clear" w:color="auto" w:fill="F2F2F2" w:themeFill="background1" w:themeFillShade="F2"/>
          </w:tcPr>
          <w:p w14:paraId="79A7EC64" w14:textId="77777777" w:rsidR="00BD0DE1" w:rsidRDefault="00BD0DE1" w:rsidP="00B368F7">
            <w:pPr>
              <w:jc w:val="both"/>
              <w:rPr>
                <w:sz w:val="24"/>
              </w:rPr>
            </w:pPr>
            <w:r>
              <w:rPr>
                <w:sz w:val="24"/>
              </w:rPr>
              <w:t>Ability to set and work within challenging targets and achieve high level outcomes</w:t>
            </w:r>
          </w:p>
        </w:tc>
        <w:tc>
          <w:tcPr>
            <w:tcW w:w="600" w:type="dxa"/>
            <w:shd w:val="clear" w:color="auto" w:fill="F2F2F2" w:themeFill="background1" w:themeFillShade="F2"/>
          </w:tcPr>
          <w:p w14:paraId="3A24C2B9" w14:textId="5ABAD02B" w:rsidR="00BD0DE1" w:rsidRDefault="00BD0DE1" w:rsidP="00B368F7">
            <w:pPr>
              <w:jc w:val="center"/>
              <w:rPr>
                <w:sz w:val="24"/>
              </w:rPr>
            </w:pPr>
          </w:p>
        </w:tc>
        <w:tc>
          <w:tcPr>
            <w:tcW w:w="600" w:type="dxa"/>
          </w:tcPr>
          <w:p w14:paraId="2F4EF991" w14:textId="77777777" w:rsidR="00BD0DE1" w:rsidRDefault="00BD0DE1" w:rsidP="00B368F7">
            <w:pPr>
              <w:jc w:val="center"/>
              <w:rPr>
                <w:sz w:val="24"/>
              </w:rPr>
            </w:pPr>
            <w:r>
              <w:rPr>
                <w:sz w:val="24"/>
              </w:rPr>
              <w:t>X</w:t>
            </w:r>
          </w:p>
        </w:tc>
        <w:tc>
          <w:tcPr>
            <w:tcW w:w="600" w:type="dxa"/>
          </w:tcPr>
          <w:p w14:paraId="03C8F8A9" w14:textId="77777777" w:rsidR="00BD0DE1" w:rsidRDefault="00BD0DE1" w:rsidP="00B368F7">
            <w:pPr>
              <w:jc w:val="center"/>
              <w:rPr>
                <w:sz w:val="24"/>
              </w:rPr>
            </w:pPr>
          </w:p>
        </w:tc>
      </w:tr>
      <w:tr w:rsidR="00BD0DE1" w14:paraId="18D1E612" w14:textId="77777777" w:rsidTr="00BD0DE1">
        <w:trPr>
          <w:trHeight w:val="576"/>
        </w:trPr>
        <w:tc>
          <w:tcPr>
            <w:tcW w:w="691" w:type="dxa"/>
            <w:shd w:val="clear" w:color="auto" w:fill="D9D9D9" w:themeFill="background1" w:themeFillShade="D9"/>
          </w:tcPr>
          <w:p w14:paraId="1A430D8F" w14:textId="2CCF3828" w:rsidR="00BD0DE1" w:rsidRDefault="008C0E81" w:rsidP="00B368F7">
            <w:pPr>
              <w:jc w:val="center"/>
              <w:rPr>
                <w:sz w:val="24"/>
              </w:rPr>
            </w:pPr>
            <w:r>
              <w:rPr>
                <w:sz w:val="24"/>
              </w:rPr>
              <w:t>8</w:t>
            </w:r>
          </w:p>
        </w:tc>
        <w:tc>
          <w:tcPr>
            <w:tcW w:w="7109" w:type="dxa"/>
            <w:shd w:val="clear" w:color="auto" w:fill="F2F2F2" w:themeFill="background1" w:themeFillShade="F2"/>
          </w:tcPr>
          <w:p w14:paraId="196BE584" w14:textId="77777777" w:rsidR="00BD0DE1" w:rsidRDefault="00BD0DE1" w:rsidP="00B368F7">
            <w:pPr>
              <w:jc w:val="both"/>
              <w:rPr>
                <w:sz w:val="24"/>
              </w:rPr>
            </w:pPr>
            <w:r>
              <w:rPr>
                <w:sz w:val="24"/>
              </w:rPr>
              <w:t>The ability to work on your own initiative and organise and manage several work strands simultaneously</w:t>
            </w:r>
          </w:p>
        </w:tc>
        <w:tc>
          <w:tcPr>
            <w:tcW w:w="600" w:type="dxa"/>
            <w:shd w:val="clear" w:color="auto" w:fill="F2F2F2" w:themeFill="background1" w:themeFillShade="F2"/>
          </w:tcPr>
          <w:p w14:paraId="5B50C621" w14:textId="68A529D8" w:rsidR="00BD0DE1" w:rsidRDefault="00BD0DE1" w:rsidP="00B368F7">
            <w:pPr>
              <w:jc w:val="center"/>
              <w:rPr>
                <w:sz w:val="24"/>
              </w:rPr>
            </w:pPr>
          </w:p>
        </w:tc>
        <w:tc>
          <w:tcPr>
            <w:tcW w:w="600" w:type="dxa"/>
          </w:tcPr>
          <w:p w14:paraId="44CDBD46" w14:textId="77777777" w:rsidR="00BD0DE1" w:rsidRDefault="00BD0DE1" w:rsidP="00B368F7">
            <w:pPr>
              <w:jc w:val="center"/>
              <w:rPr>
                <w:sz w:val="24"/>
              </w:rPr>
            </w:pPr>
            <w:r>
              <w:rPr>
                <w:sz w:val="24"/>
              </w:rPr>
              <w:t>X</w:t>
            </w:r>
          </w:p>
        </w:tc>
        <w:tc>
          <w:tcPr>
            <w:tcW w:w="600" w:type="dxa"/>
          </w:tcPr>
          <w:p w14:paraId="23E305BE" w14:textId="6DDAB82D" w:rsidR="00BD0DE1" w:rsidRDefault="00BD0DE1" w:rsidP="00B368F7">
            <w:pPr>
              <w:jc w:val="center"/>
              <w:rPr>
                <w:sz w:val="24"/>
              </w:rPr>
            </w:pPr>
            <w:r>
              <w:rPr>
                <w:sz w:val="24"/>
              </w:rPr>
              <w:t>X</w:t>
            </w:r>
          </w:p>
        </w:tc>
      </w:tr>
      <w:tr w:rsidR="00BD0DE1" w14:paraId="4982BD12" w14:textId="77777777" w:rsidTr="00BD0DE1">
        <w:trPr>
          <w:trHeight w:val="593"/>
        </w:trPr>
        <w:tc>
          <w:tcPr>
            <w:tcW w:w="691" w:type="dxa"/>
            <w:shd w:val="clear" w:color="auto" w:fill="D9D9D9" w:themeFill="background1" w:themeFillShade="D9"/>
          </w:tcPr>
          <w:p w14:paraId="477403C0" w14:textId="309E37B8" w:rsidR="00BD0DE1" w:rsidRDefault="008C0E81" w:rsidP="00B368F7">
            <w:pPr>
              <w:jc w:val="center"/>
              <w:rPr>
                <w:sz w:val="24"/>
              </w:rPr>
            </w:pPr>
            <w:r>
              <w:rPr>
                <w:sz w:val="24"/>
              </w:rPr>
              <w:t>9</w:t>
            </w:r>
          </w:p>
        </w:tc>
        <w:tc>
          <w:tcPr>
            <w:tcW w:w="7109" w:type="dxa"/>
            <w:shd w:val="clear" w:color="auto" w:fill="F2F2F2" w:themeFill="background1" w:themeFillShade="F2"/>
          </w:tcPr>
          <w:p w14:paraId="48C0B3F7" w14:textId="77777777" w:rsidR="00BD0DE1" w:rsidRDefault="00BD0DE1" w:rsidP="00B368F7">
            <w:pPr>
              <w:jc w:val="both"/>
              <w:rPr>
                <w:sz w:val="24"/>
              </w:rPr>
            </w:pPr>
            <w:r>
              <w:rPr>
                <w:sz w:val="24"/>
              </w:rPr>
              <w:t xml:space="preserve">The ability to deliver clear and concise presentations to promote a new service and encourage referrals from a range of stakeholders </w:t>
            </w:r>
          </w:p>
        </w:tc>
        <w:tc>
          <w:tcPr>
            <w:tcW w:w="600" w:type="dxa"/>
            <w:shd w:val="clear" w:color="auto" w:fill="F2F2F2" w:themeFill="background1" w:themeFillShade="F2"/>
          </w:tcPr>
          <w:p w14:paraId="23C4F50E" w14:textId="79810F53" w:rsidR="00BD0DE1" w:rsidRDefault="00BD0DE1" w:rsidP="00B368F7">
            <w:pPr>
              <w:jc w:val="center"/>
              <w:rPr>
                <w:sz w:val="24"/>
              </w:rPr>
            </w:pPr>
          </w:p>
        </w:tc>
        <w:tc>
          <w:tcPr>
            <w:tcW w:w="600" w:type="dxa"/>
          </w:tcPr>
          <w:p w14:paraId="55F9EA42" w14:textId="77777777" w:rsidR="00BD0DE1" w:rsidRDefault="00BD0DE1" w:rsidP="00B368F7">
            <w:pPr>
              <w:jc w:val="center"/>
              <w:rPr>
                <w:sz w:val="24"/>
              </w:rPr>
            </w:pPr>
          </w:p>
        </w:tc>
        <w:tc>
          <w:tcPr>
            <w:tcW w:w="600" w:type="dxa"/>
          </w:tcPr>
          <w:p w14:paraId="6F9CCD73" w14:textId="77777777" w:rsidR="00BD0DE1" w:rsidRDefault="00BD0DE1" w:rsidP="00B368F7">
            <w:pPr>
              <w:jc w:val="center"/>
              <w:rPr>
                <w:sz w:val="24"/>
              </w:rPr>
            </w:pPr>
          </w:p>
        </w:tc>
      </w:tr>
      <w:tr w:rsidR="00BD0DE1" w14:paraId="7BD7B29F" w14:textId="77777777" w:rsidTr="00BD0DE1">
        <w:trPr>
          <w:trHeight w:val="593"/>
        </w:trPr>
        <w:tc>
          <w:tcPr>
            <w:tcW w:w="691" w:type="dxa"/>
            <w:shd w:val="clear" w:color="auto" w:fill="D9D9D9" w:themeFill="background1" w:themeFillShade="D9"/>
          </w:tcPr>
          <w:p w14:paraId="379C47A9" w14:textId="7A7F0F97" w:rsidR="00BD0DE1" w:rsidRDefault="008C0E81" w:rsidP="00B368F7">
            <w:pPr>
              <w:jc w:val="center"/>
              <w:rPr>
                <w:sz w:val="24"/>
              </w:rPr>
            </w:pPr>
            <w:r>
              <w:rPr>
                <w:sz w:val="24"/>
              </w:rPr>
              <w:t>10</w:t>
            </w:r>
          </w:p>
        </w:tc>
        <w:tc>
          <w:tcPr>
            <w:tcW w:w="7109" w:type="dxa"/>
          </w:tcPr>
          <w:p w14:paraId="0175FC5C" w14:textId="77777777" w:rsidR="00BD0DE1" w:rsidRDefault="00BD0DE1" w:rsidP="00B368F7">
            <w:pPr>
              <w:jc w:val="both"/>
              <w:rPr>
                <w:sz w:val="24"/>
              </w:rPr>
            </w:pPr>
            <w:r>
              <w:rPr>
                <w:sz w:val="24"/>
              </w:rPr>
              <w:t>A high-level commitment to the principles of confidentiality and how these are embedded into day to day work with clients</w:t>
            </w:r>
          </w:p>
        </w:tc>
        <w:tc>
          <w:tcPr>
            <w:tcW w:w="600" w:type="dxa"/>
          </w:tcPr>
          <w:p w14:paraId="265F005C" w14:textId="77777777" w:rsidR="00BD0DE1" w:rsidRDefault="00BD0DE1" w:rsidP="00B368F7">
            <w:pPr>
              <w:jc w:val="center"/>
              <w:rPr>
                <w:sz w:val="24"/>
              </w:rPr>
            </w:pPr>
          </w:p>
        </w:tc>
        <w:tc>
          <w:tcPr>
            <w:tcW w:w="600" w:type="dxa"/>
          </w:tcPr>
          <w:p w14:paraId="259D7FF9" w14:textId="77777777" w:rsidR="00BD0DE1" w:rsidRDefault="00BD0DE1" w:rsidP="00B368F7">
            <w:pPr>
              <w:jc w:val="center"/>
              <w:rPr>
                <w:sz w:val="24"/>
              </w:rPr>
            </w:pPr>
            <w:r>
              <w:rPr>
                <w:sz w:val="24"/>
              </w:rPr>
              <w:t>X</w:t>
            </w:r>
          </w:p>
        </w:tc>
        <w:tc>
          <w:tcPr>
            <w:tcW w:w="600" w:type="dxa"/>
          </w:tcPr>
          <w:p w14:paraId="26433B6D" w14:textId="77777777" w:rsidR="00BD0DE1" w:rsidRDefault="00BD0DE1" w:rsidP="00B368F7">
            <w:pPr>
              <w:jc w:val="center"/>
              <w:rPr>
                <w:sz w:val="24"/>
              </w:rPr>
            </w:pPr>
          </w:p>
        </w:tc>
      </w:tr>
      <w:tr w:rsidR="00BD0DE1" w14:paraId="62E3969C" w14:textId="77777777" w:rsidTr="00BD0DE1">
        <w:trPr>
          <w:trHeight w:val="576"/>
        </w:trPr>
        <w:tc>
          <w:tcPr>
            <w:tcW w:w="691" w:type="dxa"/>
            <w:shd w:val="clear" w:color="auto" w:fill="D9D9D9" w:themeFill="background1" w:themeFillShade="D9"/>
          </w:tcPr>
          <w:p w14:paraId="1CEC65D7" w14:textId="6DFB9259" w:rsidR="00BD0DE1" w:rsidRDefault="008C0E81" w:rsidP="00B368F7">
            <w:pPr>
              <w:jc w:val="center"/>
              <w:rPr>
                <w:sz w:val="24"/>
              </w:rPr>
            </w:pPr>
            <w:r>
              <w:rPr>
                <w:sz w:val="24"/>
              </w:rPr>
              <w:t>11</w:t>
            </w:r>
          </w:p>
        </w:tc>
        <w:tc>
          <w:tcPr>
            <w:tcW w:w="7109" w:type="dxa"/>
          </w:tcPr>
          <w:p w14:paraId="340BA81F" w14:textId="77777777" w:rsidR="00BD0DE1" w:rsidRDefault="00BD0DE1" w:rsidP="00B368F7">
            <w:pPr>
              <w:jc w:val="both"/>
              <w:rPr>
                <w:sz w:val="24"/>
              </w:rPr>
            </w:pPr>
            <w:r>
              <w:rPr>
                <w:sz w:val="24"/>
              </w:rPr>
              <w:t>A high-level commitment to ensuring that The Bridge’s Values and Principles are embedded in your day to day work</w:t>
            </w:r>
          </w:p>
        </w:tc>
        <w:tc>
          <w:tcPr>
            <w:tcW w:w="600" w:type="dxa"/>
          </w:tcPr>
          <w:p w14:paraId="3E3D7DE3" w14:textId="77777777" w:rsidR="00BD0DE1" w:rsidRDefault="00BD0DE1" w:rsidP="00B368F7">
            <w:pPr>
              <w:jc w:val="center"/>
              <w:rPr>
                <w:sz w:val="24"/>
              </w:rPr>
            </w:pPr>
          </w:p>
        </w:tc>
        <w:tc>
          <w:tcPr>
            <w:tcW w:w="600" w:type="dxa"/>
          </w:tcPr>
          <w:p w14:paraId="58133206" w14:textId="77777777" w:rsidR="00BD0DE1" w:rsidRDefault="00BD0DE1" w:rsidP="00B368F7">
            <w:pPr>
              <w:jc w:val="center"/>
              <w:rPr>
                <w:sz w:val="24"/>
              </w:rPr>
            </w:pPr>
            <w:r>
              <w:rPr>
                <w:sz w:val="24"/>
              </w:rPr>
              <w:t>X</w:t>
            </w:r>
          </w:p>
        </w:tc>
        <w:tc>
          <w:tcPr>
            <w:tcW w:w="600" w:type="dxa"/>
          </w:tcPr>
          <w:p w14:paraId="7372F1BC" w14:textId="77777777" w:rsidR="00BD0DE1" w:rsidRDefault="00BD0DE1" w:rsidP="00B368F7">
            <w:pPr>
              <w:jc w:val="center"/>
              <w:rPr>
                <w:sz w:val="24"/>
              </w:rPr>
            </w:pPr>
          </w:p>
        </w:tc>
      </w:tr>
      <w:tr w:rsidR="00BD0DE1" w14:paraId="3641E328" w14:textId="77777777" w:rsidTr="00BD0DE1">
        <w:trPr>
          <w:trHeight w:val="593"/>
        </w:trPr>
        <w:tc>
          <w:tcPr>
            <w:tcW w:w="691" w:type="dxa"/>
            <w:shd w:val="clear" w:color="auto" w:fill="D9D9D9" w:themeFill="background1" w:themeFillShade="D9"/>
          </w:tcPr>
          <w:p w14:paraId="5015DA74" w14:textId="5EAC8630" w:rsidR="00BD0DE1" w:rsidRDefault="008C0E81" w:rsidP="00B368F7">
            <w:pPr>
              <w:jc w:val="center"/>
              <w:rPr>
                <w:sz w:val="24"/>
              </w:rPr>
            </w:pPr>
            <w:r>
              <w:rPr>
                <w:sz w:val="24"/>
              </w:rPr>
              <w:t>12</w:t>
            </w:r>
          </w:p>
        </w:tc>
        <w:tc>
          <w:tcPr>
            <w:tcW w:w="7109" w:type="dxa"/>
          </w:tcPr>
          <w:p w14:paraId="716A70AD" w14:textId="77777777" w:rsidR="00BD0DE1" w:rsidRDefault="00BD0DE1" w:rsidP="00B368F7">
            <w:pPr>
              <w:jc w:val="both"/>
              <w:rPr>
                <w:sz w:val="24"/>
              </w:rPr>
            </w:pPr>
            <w:r>
              <w:rPr>
                <w:sz w:val="24"/>
              </w:rPr>
              <w:t>A thorough understanding of equal opportunities and diversity and how to counter discrimination within a service delivery setting</w:t>
            </w:r>
          </w:p>
        </w:tc>
        <w:tc>
          <w:tcPr>
            <w:tcW w:w="600" w:type="dxa"/>
          </w:tcPr>
          <w:p w14:paraId="1B718334" w14:textId="77777777" w:rsidR="00BD0DE1" w:rsidRDefault="00BD0DE1" w:rsidP="00B368F7">
            <w:pPr>
              <w:jc w:val="center"/>
              <w:rPr>
                <w:sz w:val="24"/>
              </w:rPr>
            </w:pPr>
          </w:p>
        </w:tc>
        <w:tc>
          <w:tcPr>
            <w:tcW w:w="600" w:type="dxa"/>
          </w:tcPr>
          <w:p w14:paraId="6CC31A29" w14:textId="77777777" w:rsidR="00BD0DE1" w:rsidRDefault="00BD0DE1" w:rsidP="00B368F7">
            <w:pPr>
              <w:jc w:val="center"/>
              <w:rPr>
                <w:sz w:val="24"/>
              </w:rPr>
            </w:pPr>
            <w:r>
              <w:rPr>
                <w:sz w:val="24"/>
              </w:rPr>
              <w:t>X</w:t>
            </w:r>
          </w:p>
        </w:tc>
        <w:tc>
          <w:tcPr>
            <w:tcW w:w="600" w:type="dxa"/>
          </w:tcPr>
          <w:p w14:paraId="13CF808C" w14:textId="77777777" w:rsidR="00BD0DE1" w:rsidRDefault="00BD0DE1" w:rsidP="00B368F7">
            <w:pPr>
              <w:jc w:val="center"/>
              <w:rPr>
                <w:sz w:val="24"/>
              </w:rPr>
            </w:pPr>
          </w:p>
        </w:tc>
      </w:tr>
      <w:tr w:rsidR="00BD0DE1" w14:paraId="054F5462" w14:textId="77777777" w:rsidTr="00BD0DE1">
        <w:trPr>
          <w:trHeight w:val="576"/>
        </w:trPr>
        <w:tc>
          <w:tcPr>
            <w:tcW w:w="691" w:type="dxa"/>
            <w:shd w:val="clear" w:color="auto" w:fill="D9D9D9" w:themeFill="background1" w:themeFillShade="D9"/>
          </w:tcPr>
          <w:p w14:paraId="18B43DD7" w14:textId="1D66DC4C" w:rsidR="00BD0DE1" w:rsidRDefault="008C0E81" w:rsidP="00B368F7">
            <w:pPr>
              <w:jc w:val="center"/>
              <w:rPr>
                <w:sz w:val="24"/>
              </w:rPr>
            </w:pPr>
            <w:r>
              <w:rPr>
                <w:sz w:val="24"/>
              </w:rPr>
              <w:t>13</w:t>
            </w:r>
            <w:bookmarkStart w:id="0" w:name="_GoBack"/>
            <w:bookmarkEnd w:id="0"/>
          </w:p>
        </w:tc>
        <w:tc>
          <w:tcPr>
            <w:tcW w:w="7109" w:type="dxa"/>
          </w:tcPr>
          <w:p w14:paraId="55B51F72" w14:textId="77777777" w:rsidR="00BD0DE1" w:rsidRDefault="00BD0DE1" w:rsidP="00B368F7">
            <w:pPr>
              <w:jc w:val="both"/>
              <w:rPr>
                <w:sz w:val="24"/>
              </w:rPr>
            </w:pPr>
            <w:r>
              <w:rPr>
                <w:sz w:val="24"/>
              </w:rPr>
              <w:t>A thorough understanding of safeguarding processes and procedures for children, young people and vulnerable adults</w:t>
            </w:r>
          </w:p>
        </w:tc>
        <w:tc>
          <w:tcPr>
            <w:tcW w:w="600" w:type="dxa"/>
          </w:tcPr>
          <w:p w14:paraId="2084370D" w14:textId="77777777" w:rsidR="00BD0DE1" w:rsidRDefault="00BD0DE1" w:rsidP="00B368F7">
            <w:pPr>
              <w:jc w:val="center"/>
              <w:rPr>
                <w:sz w:val="24"/>
              </w:rPr>
            </w:pPr>
          </w:p>
        </w:tc>
        <w:tc>
          <w:tcPr>
            <w:tcW w:w="600" w:type="dxa"/>
          </w:tcPr>
          <w:p w14:paraId="0B40B103" w14:textId="77777777" w:rsidR="00BD0DE1" w:rsidRDefault="00BD0DE1" w:rsidP="00B368F7">
            <w:pPr>
              <w:jc w:val="center"/>
              <w:rPr>
                <w:sz w:val="24"/>
              </w:rPr>
            </w:pPr>
            <w:r>
              <w:rPr>
                <w:sz w:val="24"/>
              </w:rPr>
              <w:t>X</w:t>
            </w:r>
          </w:p>
        </w:tc>
        <w:tc>
          <w:tcPr>
            <w:tcW w:w="600" w:type="dxa"/>
          </w:tcPr>
          <w:p w14:paraId="4BD377E9" w14:textId="253AE022" w:rsidR="00BD0DE1" w:rsidRDefault="00BD0DE1" w:rsidP="00B368F7">
            <w:pPr>
              <w:jc w:val="center"/>
              <w:rPr>
                <w:sz w:val="24"/>
              </w:rPr>
            </w:pPr>
          </w:p>
        </w:tc>
      </w:tr>
    </w:tbl>
    <w:p w14:paraId="391623D8" w14:textId="77777777" w:rsidR="00777EEC" w:rsidRDefault="00777EEC" w:rsidP="00777EEC">
      <w:pPr>
        <w:spacing w:after="0"/>
        <w:jc w:val="both"/>
        <w:rPr>
          <w:sz w:val="24"/>
        </w:rPr>
      </w:pPr>
    </w:p>
    <w:tbl>
      <w:tblPr>
        <w:tblStyle w:val="TableGrid"/>
        <w:tblW w:w="0" w:type="auto"/>
        <w:tblLook w:val="04A0" w:firstRow="1" w:lastRow="0" w:firstColumn="1" w:lastColumn="0" w:noHBand="0" w:noVBand="1"/>
      </w:tblPr>
      <w:tblGrid>
        <w:gridCol w:w="1554"/>
        <w:gridCol w:w="851"/>
        <w:gridCol w:w="2406"/>
        <w:gridCol w:w="2410"/>
        <w:gridCol w:w="992"/>
        <w:gridCol w:w="1415"/>
      </w:tblGrid>
      <w:tr w:rsidR="00C5284C" w14:paraId="7847F8C8" w14:textId="77777777" w:rsidTr="00C5284C">
        <w:tc>
          <w:tcPr>
            <w:tcW w:w="9628" w:type="dxa"/>
            <w:gridSpan w:val="6"/>
            <w:shd w:val="clear" w:color="auto" w:fill="BFBFBF" w:themeFill="background1" w:themeFillShade="BF"/>
          </w:tcPr>
          <w:p w14:paraId="2169F0CF" w14:textId="77777777" w:rsidR="00C5284C" w:rsidRPr="00F86730" w:rsidRDefault="00F86730" w:rsidP="00777EEC">
            <w:pPr>
              <w:jc w:val="both"/>
              <w:rPr>
                <w:b/>
                <w:sz w:val="28"/>
              </w:rPr>
            </w:pPr>
            <w:r w:rsidRPr="00F86730">
              <w:rPr>
                <w:b/>
                <w:sz w:val="28"/>
              </w:rPr>
              <w:t>Document Control</w:t>
            </w:r>
          </w:p>
        </w:tc>
      </w:tr>
      <w:tr w:rsidR="00C5284C" w14:paraId="58DB3403" w14:textId="77777777" w:rsidTr="00C5284C">
        <w:tc>
          <w:tcPr>
            <w:tcW w:w="1555" w:type="dxa"/>
          </w:tcPr>
          <w:p w14:paraId="7C200AB6" w14:textId="77777777" w:rsidR="00C5284C" w:rsidRPr="00F86730" w:rsidRDefault="00C5284C" w:rsidP="00777EEC">
            <w:pPr>
              <w:jc w:val="both"/>
              <w:rPr>
                <w:b/>
                <w:sz w:val="24"/>
              </w:rPr>
            </w:pPr>
            <w:r w:rsidRPr="00F86730">
              <w:rPr>
                <w:b/>
                <w:sz w:val="24"/>
              </w:rPr>
              <w:t>Prepared by</w:t>
            </w:r>
          </w:p>
        </w:tc>
        <w:tc>
          <w:tcPr>
            <w:tcW w:w="5670" w:type="dxa"/>
            <w:gridSpan w:val="3"/>
          </w:tcPr>
          <w:p w14:paraId="7447E445" w14:textId="523CC06B" w:rsidR="00C5284C" w:rsidRDefault="004F7008" w:rsidP="00777EEC">
            <w:pPr>
              <w:jc w:val="both"/>
              <w:rPr>
                <w:sz w:val="24"/>
              </w:rPr>
            </w:pPr>
            <w:r>
              <w:rPr>
                <w:sz w:val="24"/>
              </w:rPr>
              <w:t xml:space="preserve">Chantelle Bramley </w:t>
            </w:r>
          </w:p>
        </w:tc>
        <w:tc>
          <w:tcPr>
            <w:tcW w:w="992" w:type="dxa"/>
          </w:tcPr>
          <w:p w14:paraId="050D2A86" w14:textId="77777777" w:rsidR="00C5284C" w:rsidRPr="00F86730" w:rsidRDefault="00C5284C" w:rsidP="00777EEC">
            <w:pPr>
              <w:jc w:val="both"/>
              <w:rPr>
                <w:b/>
                <w:sz w:val="24"/>
              </w:rPr>
            </w:pPr>
            <w:r w:rsidRPr="00F86730">
              <w:rPr>
                <w:b/>
                <w:sz w:val="24"/>
              </w:rPr>
              <w:t>Date</w:t>
            </w:r>
          </w:p>
        </w:tc>
        <w:tc>
          <w:tcPr>
            <w:tcW w:w="1411" w:type="dxa"/>
          </w:tcPr>
          <w:p w14:paraId="6525091B" w14:textId="5974433E" w:rsidR="00C5284C" w:rsidRDefault="004F7008" w:rsidP="00777EEC">
            <w:pPr>
              <w:jc w:val="both"/>
              <w:rPr>
                <w:sz w:val="24"/>
              </w:rPr>
            </w:pPr>
            <w:r>
              <w:rPr>
                <w:sz w:val="24"/>
              </w:rPr>
              <w:t>13.10</w:t>
            </w:r>
            <w:r w:rsidR="008F00D6">
              <w:rPr>
                <w:sz w:val="24"/>
              </w:rPr>
              <w:t>.2020</w:t>
            </w:r>
          </w:p>
        </w:tc>
      </w:tr>
      <w:tr w:rsidR="00C5284C" w14:paraId="6CE3D7C5" w14:textId="77777777" w:rsidTr="00C5284C">
        <w:tc>
          <w:tcPr>
            <w:tcW w:w="2407" w:type="dxa"/>
            <w:gridSpan w:val="2"/>
          </w:tcPr>
          <w:p w14:paraId="6C6743CF" w14:textId="77777777" w:rsidR="00C5284C" w:rsidRPr="00F86730" w:rsidRDefault="00C5284C" w:rsidP="00777EEC">
            <w:pPr>
              <w:jc w:val="both"/>
              <w:rPr>
                <w:b/>
                <w:sz w:val="24"/>
              </w:rPr>
            </w:pPr>
            <w:r w:rsidRPr="00F86730">
              <w:rPr>
                <w:b/>
                <w:sz w:val="24"/>
              </w:rPr>
              <w:t>QMS Document No.</w:t>
            </w:r>
          </w:p>
        </w:tc>
        <w:tc>
          <w:tcPr>
            <w:tcW w:w="2407" w:type="dxa"/>
          </w:tcPr>
          <w:p w14:paraId="50A14B8B" w14:textId="77777777" w:rsidR="00C5284C" w:rsidRDefault="00D903C2" w:rsidP="00777EEC">
            <w:pPr>
              <w:jc w:val="both"/>
              <w:rPr>
                <w:sz w:val="24"/>
              </w:rPr>
            </w:pPr>
            <w:r>
              <w:rPr>
                <w:sz w:val="24"/>
              </w:rPr>
              <w:t>YES-HR-022</w:t>
            </w:r>
          </w:p>
        </w:tc>
        <w:tc>
          <w:tcPr>
            <w:tcW w:w="2407" w:type="dxa"/>
          </w:tcPr>
          <w:p w14:paraId="56DBEA56" w14:textId="77777777" w:rsidR="00C5284C" w:rsidRPr="00F86730" w:rsidRDefault="00C5284C" w:rsidP="00777EEC">
            <w:pPr>
              <w:jc w:val="both"/>
              <w:rPr>
                <w:b/>
                <w:sz w:val="24"/>
              </w:rPr>
            </w:pPr>
            <w:r w:rsidRPr="00F86730">
              <w:rPr>
                <w:b/>
                <w:sz w:val="24"/>
              </w:rPr>
              <w:t>Version</w:t>
            </w:r>
          </w:p>
        </w:tc>
        <w:tc>
          <w:tcPr>
            <w:tcW w:w="2407" w:type="dxa"/>
            <w:gridSpan w:val="2"/>
          </w:tcPr>
          <w:p w14:paraId="4DB9D316" w14:textId="5409C8EA" w:rsidR="00C5284C" w:rsidRDefault="00C66064" w:rsidP="00777EEC">
            <w:pPr>
              <w:jc w:val="both"/>
              <w:rPr>
                <w:sz w:val="24"/>
              </w:rPr>
            </w:pPr>
            <w:r>
              <w:rPr>
                <w:sz w:val="24"/>
              </w:rPr>
              <w:t>v</w:t>
            </w:r>
            <w:r w:rsidR="008F00D6">
              <w:rPr>
                <w:sz w:val="24"/>
              </w:rPr>
              <w:t>4</w:t>
            </w:r>
            <w:r w:rsidR="004F7008">
              <w:rPr>
                <w:sz w:val="24"/>
              </w:rPr>
              <w:t>.1</w:t>
            </w:r>
          </w:p>
        </w:tc>
      </w:tr>
    </w:tbl>
    <w:p w14:paraId="7BD9862A" w14:textId="77777777" w:rsidR="00C5284C" w:rsidRPr="00801E5C" w:rsidRDefault="00C5284C" w:rsidP="00777EEC">
      <w:pPr>
        <w:spacing w:after="0"/>
        <w:jc w:val="both"/>
        <w:rPr>
          <w:sz w:val="24"/>
        </w:rPr>
      </w:pPr>
    </w:p>
    <w:sectPr w:rsidR="00C5284C" w:rsidRPr="00801E5C" w:rsidSect="00801E5C">
      <w:head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8769" w14:textId="77777777" w:rsidR="004C542D" w:rsidRDefault="004C542D" w:rsidP="00801E5C">
      <w:pPr>
        <w:spacing w:after="0" w:line="240" w:lineRule="auto"/>
      </w:pPr>
      <w:r>
        <w:separator/>
      </w:r>
    </w:p>
  </w:endnote>
  <w:endnote w:type="continuationSeparator" w:id="0">
    <w:p w14:paraId="50F1F77D" w14:textId="77777777" w:rsidR="004C542D" w:rsidRDefault="004C542D" w:rsidP="0080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BFB36" w14:textId="77777777" w:rsidR="004C542D" w:rsidRDefault="004C542D" w:rsidP="00801E5C">
      <w:pPr>
        <w:spacing w:after="0" w:line="240" w:lineRule="auto"/>
      </w:pPr>
      <w:r>
        <w:separator/>
      </w:r>
    </w:p>
  </w:footnote>
  <w:footnote w:type="continuationSeparator" w:id="0">
    <w:p w14:paraId="1EC6EDF3" w14:textId="77777777" w:rsidR="004C542D" w:rsidRDefault="004C542D" w:rsidP="0080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8CD89" w14:textId="1141328B" w:rsidR="002E5800" w:rsidRDefault="00711D84" w:rsidP="00E00068">
    <w:pPr>
      <w:pStyle w:val="Header"/>
      <w:jc w:val="center"/>
    </w:pPr>
    <w:r>
      <w:rPr>
        <w:noProof/>
        <w:lang w:eastAsia="en-GB"/>
      </w:rPr>
      <w:drawing>
        <wp:inline distT="0" distB="0" distL="0" distR="0" wp14:anchorId="5DD36467" wp14:editId="7A9A7927">
          <wp:extent cx="6120130" cy="1144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44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E91"/>
    <w:multiLevelType w:val="hybridMultilevel"/>
    <w:tmpl w:val="BC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93416"/>
    <w:multiLevelType w:val="hybridMultilevel"/>
    <w:tmpl w:val="3E48B9A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26746"/>
    <w:multiLevelType w:val="hybridMultilevel"/>
    <w:tmpl w:val="740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26FC7"/>
    <w:multiLevelType w:val="hybridMultilevel"/>
    <w:tmpl w:val="016AB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001AA"/>
    <w:multiLevelType w:val="hybridMultilevel"/>
    <w:tmpl w:val="077C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C0DB1"/>
    <w:multiLevelType w:val="hybridMultilevel"/>
    <w:tmpl w:val="F4E0F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C0"/>
    <w:rsid w:val="00025628"/>
    <w:rsid w:val="0002579D"/>
    <w:rsid w:val="00063B7C"/>
    <w:rsid w:val="000A33C3"/>
    <w:rsid w:val="000B4C2A"/>
    <w:rsid w:val="000B4CEC"/>
    <w:rsid w:val="000B7E10"/>
    <w:rsid w:val="000D4FCC"/>
    <w:rsid w:val="000F4BE5"/>
    <w:rsid w:val="0010792B"/>
    <w:rsid w:val="00150988"/>
    <w:rsid w:val="0016515D"/>
    <w:rsid w:val="00187E7A"/>
    <w:rsid w:val="001A5EDF"/>
    <w:rsid w:val="001D3414"/>
    <w:rsid w:val="001E1A8D"/>
    <w:rsid w:val="001F759B"/>
    <w:rsid w:val="002008E9"/>
    <w:rsid w:val="00231E3C"/>
    <w:rsid w:val="00247212"/>
    <w:rsid w:val="0029286C"/>
    <w:rsid w:val="002A08A0"/>
    <w:rsid w:val="002A6912"/>
    <w:rsid w:val="002E40BC"/>
    <w:rsid w:val="002E5800"/>
    <w:rsid w:val="002F5196"/>
    <w:rsid w:val="00303B27"/>
    <w:rsid w:val="00337826"/>
    <w:rsid w:val="003C66F4"/>
    <w:rsid w:val="0043075D"/>
    <w:rsid w:val="004B5043"/>
    <w:rsid w:val="004C542D"/>
    <w:rsid w:val="004C7511"/>
    <w:rsid w:val="004E172B"/>
    <w:rsid w:val="004F35D5"/>
    <w:rsid w:val="004F3F3E"/>
    <w:rsid w:val="004F7008"/>
    <w:rsid w:val="00542F11"/>
    <w:rsid w:val="0057113D"/>
    <w:rsid w:val="00571945"/>
    <w:rsid w:val="00584499"/>
    <w:rsid w:val="005A44B0"/>
    <w:rsid w:val="005B1240"/>
    <w:rsid w:val="005F5D9B"/>
    <w:rsid w:val="00623669"/>
    <w:rsid w:val="006821C8"/>
    <w:rsid w:val="006B30FF"/>
    <w:rsid w:val="006E31C3"/>
    <w:rsid w:val="00701B37"/>
    <w:rsid w:val="00711D84"/>
    <w:rsid w:val="00716F81"/>
    <w:rsid w:val="00777EEC"/>
    <w:rsid w:val="007970F2"/>
    <w:rsid w:val="00801E5C"/>
    <w:rsid w:val="00823E1B"/>
    <w:rsid w:val="008C0E81"/>
    <w:rsid w:val="008D5593"/>
    <w:rsid w:val="008F00D6"/>
    <w:rsid w:val="00901FAE"/>
    <w:rsid w:val="0095510E"/>
    <w:rsid w:val="009A7C34"/>
    <w:rsid w:val="00A43D75"/>
    <w:rsid w:val="00A50AF7"/>
    <w:rsid w:val="00A72E24"/>
    <w:rsid w:val="00AA29D4"/>
    <w:rsid w:val="00AA65AD"/>
    <w:rsid w:val="00AB420B"/>
    <w:rsid w:val="00AB5C16"/>
    <w:rsid w:val="00AD77DE"/>
    <w:rsid w:val="00AE347C"/>
    <w:rsid w:val="00AE7E1E"/>
    <w:rsid w:val="00AF0A49"/>
    <w:rsid w:val="00AF5B24"/>
    <w:rsid w:val="00B2018B"/>
    <w:rsid w:val="00B22EE5"/>
    <w:rsid w:val="00B240E9"/>
    <w:rsid w:val="00B33387"/>
    <w:rsid w:val="00B368F7"/>
    <w:rsid w:val="00B77FAA"/>
    <w:rsid w:val="00B853AB"/>
    <w:rsid w:val="00BD0DE1"/>
    <w:rsid w:val="00BD48B6"/>
    <w:rsid w:val="00BD7229"/>
    <w:rsid w:val="00BD756E"/>
    <w:rsid w:val="00BF5D62"/>
    <w:rsid w:val="00C02902"/>
    <w:rsid w:val="00C5284C"/>
    <w:rsid w:val="00C66064"/>
    <w:rsid w:val="00C85138"/>
    <w:rsid w:val="00C967AF"/>
    <w:rsid w:val="00D903C2"/>
    <w:rsid w:val="00D9637B"/>
    <w:rsid w:val="00E00068"/>
    <w:rsid w:val="00E40604"/>
    <w:rsid w:val="00F035B6"/>
    <w:rsid w:val="00F173C0"/>
    <w:rsid w:val="00F46F18"/>
    <w:rsid w:val="00F86730"/>
    <w:rsid w:val="00FE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C9E7D"/>
  <w15:chartTrackingRefBased/>
  <w15:docId w15:val="{B2F726F3-5135-46FF-9589-7EAD8090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5C"/>
  </w:style>
  <w:style w:type="paragraph" w:styleId="Footer">
    <w:name w:val="footer"/>
    <w:basedOn w:val="Normal"/>
    <w:link w:val="FooterChar"/>
    <w:uiPriority w:val="99"/>
    <w:unhideWhenUsed/>
    <w:rsid w:val="0080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5C"/>
  </w:style>
  <w:style w:type="table" w:styleId="TableGrid">
    <w:name w:val="Table Grid"/>
    <w:basedOn w:val="TableNormal"/>
    <w:uiPriority w:val="39"/>
    <w:rsid w:val="0080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EEC"/>
    <w:pPr>
      <w:ind w:left="720"/>
      <w:contextualSpacing/>
    </w:pPr>
  </w:style>
  <w:style w:type="paragraph" w:customStyle="1" w:styleId="p5">
    <w:name w:val="p5"/>
    <w:basedOn w:val="Normal"/>
    <w:rsid w:val="0095510E"/>
    <w:pPr>
      <w:widowControl w:val="0"/>
      <w:tabs>
        <w:tab w:val="left" w:pos="725"/>
      </w:tabs>
      <w:autoSpaceDE w:val="0"/>
      <w:autoSpaceDN w:val="0"/>
      <w:adjustRightInd w:val="0"/>
      <w:spacing w:after="0" w:line="240" w:lineRule="atLeast"/>
      <w:ind w:left="715" w:hanging="725"/>
    </w:pPr>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C02902"/>
    <w:rPr>
      <w:sz w:val="16"/>
      <w:szCs w:val="16"/>
    </w:rPr>
  </w:style>
  <w:style w:type="paragraph" w:styleId="CommentText">
    <w:name w:val="annotation text"/>
    <w:basedOn w:val="Normal"/>
    <w:link w:val="CommentTextChar"/>
    <w:uiPriority w:val="99"/>
    <w:semiHidden/>
    <w:unhideWhenUsed/>
    <w:rsid w:val="00C02902"/>
    <w:pPr>
      <w:spacing w:line="240" w:lineRule="auto"/>
    </w:pPr>
    <w:rPr>
      <w:sz w:val="20"/>
      <w:szCs w:val="20"/>
    </w:rPr>
  </w:style>
  <w:style w:type="character" w:customStyle="1" w:styleId="CommentTextChar">
    <w:name w:val="Comment Text Char"/>
    <w:basedOn w:val="DefaultParagraphFont"/>
    <w:link w:val="CommentText"/>
    <w:uiPriority w:val="99"/>
    <w:semiHidden/>
    <w:rsid w:val="00C02902"/>
    <w:rPr>
      <w:sz w:val="20"/>
      <w:szCs w:val="20"/>
    </w:rPr>
  </w:style>
  <w:style w:type="paragraph" w:styleId="CommentSubject">
    <w:name w:val="annotation subject"/>
    <w:basedOn w:val="CommentText"/>
    <w:next w:val="CommentText"/>
    <w:link w:val="CommentSubjectChar"/>
    <w:uiPriority w:val="99"/>
    <w:semiHidden/>
    <w:unhideWhenUsed/>
    <w:rsid w:val="00C02902"/>
    <w:rPr>
      <w:b/>
      <w:bCs/>
    </w:rPr>
  </w:style>
  <w:style w:type="character" w:customStyle="1" w:styleId="CommentSubjectChar">
    <w:name w:val="Comment Subject Char"/>
    <w:basedOn w:val="CommentTextChar"/>
    <w:link w:val="CommentSubject"/>
    <w:uiPriority w:val="99"/>
    <w:semiHidden/>
    <w:rsid w:val="00C02902"/>
    <w:rPr>
      <w:b/>
      <w:bCs/>
      <w:sz w:val="20"/>
      <w:szCs w:val="20"/>
    </w:rPr>
  </w:style>
  <w:style w:type="paragraph" w:styleId="BalloonText">
    <w:name w:val="Balloon Text"/>
    <w:basedOn w:val="Normal"/>
    <w:link w:val="BalloonTextChar"/>
    <w:uiPriority w:val="99"/>
    <w:semiHidden/>
    <w:unhideWhenUsed/>
    <w:rsid w:val="00C0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A29DAC3B538B438262EA2CBEDF13E0" ma:contentTypeVersion="14" ma:contentTypeDescription="Create a new document." ma:contentTypeScope="" ma:versionID="fdba2a95345bf1ae17f85a0928557b67">
  <xsd:schema xmlns:xsd="http://www.w3.org/2001/XMLSchema" xmlns:xs="http://www.w3.org/2001/XMLSchema" xmlns:p="http://schemas.microsoft.com/office/2006/metadata/properties" xmlns:ns2="8be8e954-a1db-433d-94e2-105db6c6d966" xmlns:ns3="fe1edf3b-d3b1-4ffb-9e7c-b98c31911014" targetNamespace="http://schemas.microsoft.com/office/2006/metadata/properties" ma:root="true" ma:fieldsID="0667fe2f532cb0e4aa710cd1597ca0d8" ns2:_="" ns3:_="">
    <xsd:import namespace="8be8e954-a1db-433d-94e2-105db6c6d966"/>
    <xsd:import namespace="fe1edf3b-d3b1-4ffb-9e7c-b98c3191101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1edf3b-d3b1-4ffb-9e7c-b98c319110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EC4B-75BA-4DEF-9E58-21C2C1DB3FC7}">
  <ds:schemaRefs>
    <ds:schemaRef ds:uri="8be8e954-a1db-433d-94e2-105db6c6d96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e1edf3b-d3b1-4ffb-9e7c-b98c31911014"/>
    <ds:schemaRef ds:uri="http://www.w3.org/XML/1998/namespace"/>
  </ds:schemaRefs>
</ds:datastoreItem>
</file>

<file path=customXml/itemProps2.xml><?xml version="1.0" encoding="utf-8"?>
<ds:datastoreItem xmlns:ds="http://schemas.openxmlformats.org/officeDocument/2006/customXml" ds:itemID="{C081E50B-0593-4562-BDE8-16E1521D5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8e954-a1db-433d-94e2-105db6c6d966"/>
    <ds:schemaRef ds:uri="fe1edf3b-d3b1-4ffb-9e7c-b98c3191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9D34C-6FC0-40E2-B7ED-2F12E7E027CF}">
  <ds:schemaRefs>
    <ds:schemaRef ds:uri="http://schemas.microsoft.com/sharepoint/v3/contenttype/forms"/>
  </ds:schemaRefs>
</ds:datastoreItem>
</file>

<file path=customXml/itemProps4.xml><?xml version="1.0" encoding="utf-8"?>
<ds:datastoreItem xmlns:ds="http://schemas.openxmlformats.org/officeDocument/2006/customXml" ds:itemID="{4B8DF6B1-462A-4972-93CF-E3AC8B64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Snape</dc:creator>
  <cp:keywords/>
  <dc:description/>
  <cp:lastModifiedBy>Chantelle Bramley</cp:lastModifiedBy>
  <cp:revision>2</cp:revision>
  <cp:lastPrinted>2020-02-18T10:26:00Z</cp:lastPrinted>
  <dcterms:created xsi:type="dcterms:W3CDTF">2020-10-15T09:41:00Z</dcterms:created>
  <dcterms:modified xsi:type="dcterms:W3CDTF">2020-10-15T09:41:00Z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0x01010082A29DAC3B538B438262EA2CBEDF13E0</vt:lpwstr>
  </property>
</Properties>
</file>