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40456" w14:textId="77777777" w:rsidR="001E1A8D" w:rsidRPr="00801E5C" w:rsidRDefault="001E1A8D" w:rsidP="001E1A8D">
      <w:pPr>
        <w:spacing w:after="0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01E5C" w14:paraId="20068E47" w14:textId="77777777" w:rsidTr="00801E5C">
        <w:tc>
          <w:tcPr>
            <w:tcW w:w="9628" w:type="dxa"/>
            <w:gridSpan w:val="2"/>
            <w:shd w:val="clear" w:color="auto" w:fill="BFBFBF" w:themeFill="background1" w:themeFillShade="BF"/>
          </w:tcPr>
          <w:p w14:paraId="5D870639" w14:textId="77777777" w:rsidR="00801E5C" w:rsidRDefault="00C5284C" w:rsidP="00F86730">
            <w:pPr>
              <w:jc w:val="both"/>
            </w:pPr>
            <w:r>
              <w:rPr>
                <w:b/>
                <w:sz w:val="32"/>
              </w:rPr>
              <w:t>Job Profile</w:t>
            </w:r>
          </w:p>
        </w:tc>
      </w:tr>
      <w:tr w:rsidR="00801E5C" w14:paraId="36319CC7" w14:textId="77777777" w:rsidTr="00960C2C">
        <w:tc>
          <w:tcPr>
            <w:tcW w:w="2405" w:type="dxa"/>
            <w:shd w:val="clear" w:color="auto" w:fill="D9D9D9" w:themeFill="background1" w:themeFillShade="D9"/>
          </w:tcPr>
          <w:p w14:paraId="368CFDE7" w14:textId="77777777" w:rsidR="00801E5C" w:rsidRPr="00801E5C" w:rsidRDefault="00F86730" w:rsidP="00801E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Title</w:t>
            </w:r>
          </w:p>
        </w:tc>
        <w:tc>
          <w:tcPr>
            <w:tcW w:w="7223" w:type="dxa"/>
            <w:shd w:val="clear" w:color="auto" w:fill="auto"/>
          </w:tcPr>
          <w:p w14:paraId="59F56507" w14:textId="77777777" w:rsidR="00801E5C" w:rsidRPr="00F86730" w:rsidRDefault="00EF33A3" w:rsidP="003C56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Senior Homelessness Transitions for Offenders Officer</w:t>
            </w:r>
          </w:p>
        </w:tc>
      </w:tr>
      <w:tr w:rsidR="00F95776" w14:paraId="6EA64F1C" w14:textId="77777777" w:rsidTr="00960C2C">
        <w:tc>
          <w:tcPr>
            <w:tcW w:w="2405" w:type="dxa"/>
            <w:shd w:val="clear" w:color="auto" w:fill="D9D9D9" w:themeFill="background1" w:themeFillShade="D9"/>
          </w:tcPr>
          <w:p w14:paraId="285852F7" w14:textId="77777777" w:rsidR="00F95776" w:rsidRDefault="007E750D" w:rsidP="00801E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Employment</w:t>
            </w:r>
            <w:r w:rsidR="00F95776">
              <w:rPr>
                <w:b/>
                <w:sz w:val="28"/>
              </w:rPr>
              <w:t xml:space="preserve"> Term</w:t>
            </w:r>
          </w:p>
        </w:tc>
        <w:tc>
          <w:tcPr>
            <w:tcW w:w="7223" w:type="dxa"/>
            <w:shd w:val="clear" w:color="auto" w:fill="auto"/>
          </w:tcPr>
          <w:p w14:paraId="5F738AF2" w14:textId="77777777" w:rsidR="00F95776" w:rsidRPr="00F95776" w:rsidRDefault="00ED6177" w:rsidP="003C567C">
            <w:pPr>
              <w:rPr>
                <w:sz w:val="28"/>
              </w:rPr>
            </w:pPr>
            <w:r>
              <w:rPr>
                <w:sz w:val="28"/>
              </w:rPr>
              <w:t>Permanent</w:t>
            </w:r>
          </w:p>
        </w:tc>
      </w:tr>
      <w:tr w:rsidR="00F86730" w14:paraId="1D6D5BE3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7D35E645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Hours per Week</w:t>
            </w:r>
          </w:p>
        </w:tc>
        <w:tc>
          <w:tcPr>
            <w:tcW w:w="7223" w:type="dxa"/>
          </w:tcPr>
          <w:p w14:paraId="17CFE413" w14:textId="77777777" w:rsidR="00F86730" w:rsidRDefault="000E1756" w:rsidP="00F86730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F86730" w14:paraId="12AC1955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076AC2AC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Salary</w:t>
            </w:r>
          </w:p>
        </w:tc>
        <w:tc>
          <w:tcPr>
            <w:tcW w:w="7223" w:type="dxa"/>
          </w:tcPr>
          <w:p w14:paraId="25BB0499" w14:textId="73D1172B" w:rsidR="00F86730" w:rsidRPr="00801E5C" w:rsidRDefault="00572372" w:rsidP="001D49A0">
            <w:pPr>
              <w:rPr>
                <w:sz w:val="28"/>
              </w:rPr>
            </w:pPr>
            <w:r w:rsidRPr="001D49A0">
              <w:rPr>
                <w:sz w:val="28"/>
              </w:rPr>
              <w:t>Up to</w:t>
            </w:r>
            <w:r w:rsidR="00A6190C">
              <w:rPr>
                <w:sz w:val="28"/>
              </w:rPr>
              <w:t xml:space="preserve"> £25,416</w:t>
            </w:r>
            <w:r w:rsidR="00781514" w:rsidRPr="001D49A0">
              <w:rPr>
                <w:sz w:val="28"/>
              </w:rPr>
              <w:t xml:space="preserve"> </w:t>
            </w:r>
            <w:r w:rsidR="00F86730" w:rsidRPr="001D49A0">
              <w:rPr>
                <w:sz w:val="28"/>
              </w:rPr>
              <w:t>FTE (dependent upon experience)</w:t>
            </w:r>
          </w:p>
        </w:tc>
      </w:tr>
      <w:tr w:rsidR="00F86730" w14:paraId="6F583899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F548ABF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Responsible to</w:t>
            </w:r>
          </w:p>
        </w:tc>
        <w:tc>
          <w:tcPr>
            <w:tcW w:w="7223" w:type="dxa"/>
          </w:tcPr>
          <w:p w14:paraId="195BBC6C" w14:textId="77777777" w:rsidR="00F86730" w:rsidRPr="00801E5C" w:rsidRDefault="00ED6177" w:rsidP="00F86730">
            <w:pPr>
              <w:rPr>
                <w:sz w:val="28"/>
              </w:rPr>
            </w:pPr>
            <w:r>
              <w:rPr>
                <w:sz w:val="28"/>
              </w:rPr>
              <w:t>Advice Services Team Manager</w:t>
            </w:r>
          </w:p>
        </w:tc>
      </w:tr>
      <w:tr w:rsidR="00F86730" w14:paraId="22C56FAA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26803CB8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Responsible for</w:t>
            </w:r>
          </w:p>
        </w:tc>
        <w:tc>
          <w:tcPr>
            <w:tcW w:w="7223" w:type="dxa"/>
          </w:tcPr>
          <w:p w14:paraId="20A6317E" w14:textId="77777777" w:rsidR="00F86730" w:rsidRPr="00801E5C" w:rsidRDefault="000E1756" w:rsidP="00ED6177">
            <w:pPr>
              <w:rPr>
                <w:sz w:val="28"/>
              </w:rPr>
            </w:pPr>
            <w:r>
              <w:rPr>
                <w:sz w:val="28"/>
              </w:rPr>
              <w:t xml:space="preserve">Staff working for: </w:t>
            </w:r>
            <w:r w:rsidR="00ED6177">
              <w:rPr>
                <w:sz w:val="28"/>
              </w:rPr>
              <w:t>Homelessness Transitions for Offenders Service</w:t>
            </w:r>
          </w:p>
        </w:tc>
      </w:tr>
      <w:tr w:rsidR="00F86730" w14:paraId="01E63B26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0B598BC7" w14:textId="77777777" w:rsidR="00F86730" w:rsidRPr="00801E5C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Service/Team</w:t>
            </w:r>
          </w:p>
        </w:tc>
        <w:tc>
          <w:tcPr>
            <w:tcW w:w="7223" w:type="dxa"/>
          </w:tcPr>
          <w:p w14:paraId="0553FB8E" w14:textId="77777777" w:rsidR="00F86730" w:rsidRDefault="000E1756" w:rsidP="00F86730">
            <w:pPr>
              <w:rPr>
                <w:sz w:val="28"/>
              </w:rPr>
            </w:pPr>
            <w:r w:rsidRPr="00712BF2">
              <w:rPr>
                <w:sz w:val="28"/>
              </w:rPr>
              <w:t>Senior Leadership Team</w:t>
            </w:r>
          </w:p>
        </w:tc>
      </w:tr>
      <w:tr w:rsidR="00F86730" w14:paraId="0BB01326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7877DBFF" w14:textId="77777777" w:rsidR="00F86730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Number</w:t>
            </w:r>
          </w:p>
        </w:tc>
        <w:tc>
          <w:tcPr>
            <w:tcW w:w="7223" w:type="dxa"/>
          </w:tcPr>
          <w:p w14:paraId="293FB283" w14:textId="42A07709" w:rsidR="00F86730" w:rsidRDefault="000E1756" w:rsidP="00F86730">
            <w:pPr>
              <w:rPr>
                <w:sz w:val="28"/>
              </w:rPr>
            </w:pPr>
            <w:r>
              <w:rPr>
                <w:sz w:val="28"/>
              </w:rPr>
              <w:t>HSS</w:t>
            </w:r>
            <w:r w:rsidR="003C66F4">
              <w:rPr>
                <w:sz w:val="28"/>
              </w:rPr>
              <w:t>-</w:t>
            </w:r>
            <w:r w:rsidR="001E1A8D">
              <w:rPr>
                <w:sz w:val="28"/>
              </w:rPr>
              <w:t>HR</w:t>
            </w:r>
            <w:r w:rsidR="002840E2">
              <w:rPr>
                <w:sz w:val="28"/>
              </w:rPr>
              <w:t>-038</w:t>
            </w:r>
          </w:p>
        </w:tc>
      </w:tr>
      <w:tr w:rsidR="00F86730" w14:paraId="0AC9755A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7CDB5E2F" w14:textId="77777777" w:rsidR="00F86730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Base/Location</w:t>
            </w:r>
          </w:p>
        </w:tc>
        <w:tc>
          <w:tcPr>
            <w:tcW w:w="7223" w:type="dxa"/>
          </w:tcPr>
          <w:p w14:paraId="06B938EC" w14:textId="77777777" w:rsidR="00F86730" w:rsidRDefault="000E1756" w:rsidP="00F86730">
            <w:pPr>
              <w:rPr>
                <w:sz w:val="28"/>
              </w:rPr>
            </w:pPr>
            <w:r>
              <w:rPr>
                <w:sz w:val="28"/>
              </w:rPr>
              <w:t>38 Leicester Road, Loughborough, LE11 2AG</w:t>
            </w:r>
          </w:p>
        </w:tc>
      </w:tr>
    </w:tbl>
    <w:p w14:paraId="6DA7B956" w14:textId="77777777" w:rsidR="00801E5C" w:rsidRDefault="00801E5C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3C1B3A94" w14:textId="77777777" w:rsidTr="00801E5C">
        <w:tc>
          <w:tcPr>
            <w:tcW w:w="9628" w:type="dxa"/>
            <w:shd w:val="clear" w:color="auto" w:fill="BFBFBF" w:themeFill="background1" w:themeFillShade="BF"/>
          </w:tcPr>
          <w:p w14:paraId="567E088F" w14:textId="77777777" w:rsidR="00801E5C" w:rsidRDefault="00801E5C" w:rsidP="00F86730">
            <w:pPr>
              <w:jc w:val="both"/>
              <w:rPr>
                <w:sz w:val="24"/>
              </w:rPr>
            </w:pPr>
            <w:r w:rsidRPr="00801E5C">
              <w:rPr>
                <w:b/>
                <w:sz w:val="28"/>
              </w:rPr>
              <w:t>Job Purpose</w:t>
            </w:r>
          </w:p>
        </w:tc>
      </w:tr>
      <w:tr w:rsidR="00801E5C" w14:paraId="2C39396B" w14:textId="77777777" w:rsidTr="00801E5C">
        <w:tc>
          <w:tcPr>
            <w:tcW w:w="9628" w:type="dxa"/>
          </w:tcPr>
          <w:p w14:paraId="7BA3176E" w14:textId="77777777" w:rsidR="00C57AD9" w:rsidRPr="00CE3830" w:rsidRDefault="00C57AD9" w:rsidP="00C57AD9">
            <w:pPr>
              <w:jc w:val="both"/>
              <w:rPr>
                <w:sz w:val="24"/>
                <w:szCs w:val="24"/>
              </w:rPr>
            </w:pPr>
            <w:r w:rsidRPr="00ED6177">
              <w:rPr>
                <w:rFonts w:ascii="Calibri" w:hAnsi="Calibri" w:cs="Calibri"/>
                <w:sz w:val="24"/>
                <w:szCs w:val="24"/>
              </w:rPr>
              <w:t xml:space="preserve">The Homelessness Transitions for Offenders (HTO) service 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is funded by the Big Lottery Fund (BLF) and </w:t>
            </w:r>
            <w:r w:rsidR="00ED6177" w:rsidRPr="00ED6177">
              <w:rPr>
                <w:sz w:val="24"/>
                <w:szCs w:val="24"/>
              </w:rPr>
              <w:t>works with people who have an offending history, including both offenders in custody and in the community, who disclose they are of no Fixed Abode or that they will b</w:t>
            </w:r>
            <w:r w:rsidR="00CE3830">
              <w:rPr>
                <w:sz w:val="24"/>
                <w:szCs w:val="24"/>
              </w:rPr>
              <w:t xml:space="preserve">e street homeless upon release. 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The programme, working with the </w:t>
            </w:r>
            <w:r w:rsidR="00ED6177" w:rsidRPr="00ED6177">
              <w:rPr>
                <w:rFonts w:cstheme="minorHAnsi"/>
                <w:color w:val="000000" w:themeColor="text1"/>
                <w:sz w:val="24"/>
                <w:szCs w:val="24"/>
              </w:rPr>
              <w:t>Prison Resettlement Teams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, will strengthen the </w:t>
            </w:r>
            <w:r w:rsidR="001D49A0">
              <w:rPr>
                <w:rFonts w:cstheme="minorHAnsi"/>
                <w:color w:val="000000" w:themeColor="text1"/>
                <w:sz w:val="24"/>
                <w:szCs w:val="24"/>
              </w:rPr>
              <w:t>pathway</w:t>
            </w:r>
            <w:r w:rsidR="004F414D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F414D">
              <w:rPr>
                <w:rFonts w:cstheme="minorHAnsi"/>
                <w:color w:val="000000" w:themeColor="text1"/>
                <w:sz w:val="24"/>
                <w:szCs w:val="24"/>
              </w:rPr>
              <w:t>and offer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earlier 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>interventions</w:t>
            </w:r>
            <w:r w:rsidR="004F414D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 to prisoners</w:t>
            </w:r>
            <w:r w:rsidR="00ED6177"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 who are due for release</w:t>
            </w:r>
            <w:r w:rsidR="004F414D">
              <w:rPr>
                <w:rFonts w:cstheme="minorHAnsi"/>
                <w:color w:val="000000" w:themeColor="text1"/>
                <w:sz w:val="24"/>
                <w:szCs w:val="24"/>
              </w:rPr>
              <w:t xml:space="preserve"> with No Fixed Abode</w:t>
            </w:r>
            <w:r w:rsidR="00ED6177" w:rsidRPr="00ED6177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4F414D">
              <w:rPr>
                <w:rFonts w:cstheme="minorHAnsi"/>
                <w:color w:val="000000" w:themeColor="text1"/>
                <w:sz w:val="24"/>
                <w:szCs w:val="24"/>
              </w:rPr>
              <w:t xml:space="preserve"> and will therefore</w:t>
            </w:r>
            <w:r w:rsidR="00ED6177"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reduce the flow of rough sleepers to the street.  </w:t>
            </w:r>
          </w:p>
          <w:p w14:paraId="3AC6C4BB" w14:textId="77777777" w:rsidR="00ED6177" w:rsidRPr="003A565D" w:rsidRDefault="00ED6177" w:rsidP="00C57AD9">
            <w:pPr>
              <w:jc w:val="both"/>
              <w:rPr>
                <w:rFonts w:ascii="Calibri" w:hAnsi="Calibri" w:cs="Calibri"/>
              </w:rPr>
            </w:pPr>
          </w:p>
          <w:p w14:paraId="767617D1" w14:textId="77777777" w:rsidR="00E87815" w:rsidRDefault="000E1756" w:rsidP="00F9577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6573F">
              <w:rPr>
                <w:rFonts w:ascii="Calibri" w:hAnsi="Calibri" w:cs="Calibri"/>
                <w:sz w:val="24"/>
                <w:szCs w:val="24"/>
              </w:rPr>
              <w:t xml:space="preserve">The role of the </w:t>
            </w:r>
            <w:r w:rsidR="00AF6695">
              <w:rPr>
                <w:rFonts w:ascii="Calibri" w:hAnsi="Calibri" w:cs="Calibri"/>
                <w:sz w:val="24"/>
                <w:szCs w:val="24"/>
              </w:rPr>
              <w:t xml:space="preserve">Senior </w:t>
            </w:r>
            <w:r w:rsidR="00ED6177">
              <w:rPr>
                <w:rFonts w:ascii="Calibri" w:hAnsi="Calibri" w:cs="Calibri"/>
                <w:sz w:val="24"/>
                <w:szCs w:val="24"/>
              </w:rPr>
              <w:t>HTO Officer is to</w:t>
            </w:r>
            <w:r w:rsidRPr="0046573F">
              <w:rPr>
                <w:rFonts w:ascii="Calibri" w:hAnsi="Calibri" w:cs="Calibri"/>
                <w:sz w:val="24"/>
                <w:szCs w:val="24"/>
              </w:rPr>
              <w:t xml:space="preserve"> provide day to day leadership and support to the </w:t>
            </w:r>
            <w:r w:rsidR="00ED6177">
              <w:rPr>
                <w:rFonts w:ascii="Calibri" w:hAnsi="Calibri" w:cs="Calibri"/>
                <w:sz w:val="24"/>
                <w:szCs w:val="24"/>
              </w:rPr>
              <w:t>HTO Team</w:t>
            </w:r>
            <w:r w:rsidRPr="0046573F">
              <w:rPr>
                <w:rFonts w:ascii="Calibri" w:hAnsi="Calibri" w:cs="Calibri"/>
                <w:sz w:val="24"/>
                <w:szCs w:val="24"/>
              </w:rPr>
              <w:t xml:space="preserve"> and to support </w:t>
            </w:r>
            <w:r w:rsidR="0078464A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ED6177">
              <w:rPr>
                <w:rFonts w:ascii="Calibri" w:hAnsi="Calibri" w:cs="Calibri"/>
                <w:sz w:val="24"/>
                <w:szCs w:val="24"/>
              </w:rPr>
              <w:t>Advice Services Team Manager</w:t>
            </w:r>
            <w:r w:rsidRPr="004657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F414D">
              <w:rPr>
                <w:rFonts w:ascii="Calibri" w:hAnsi="Calibri" w:cs="Calibri"/>
                <w:sz w:val="24"/>
                <w:szCs w:val="24"/>
              </w:rPr>
              <w:t xml:space="preserve">(ASTM) </w:t>
            </w:r>
            <w:r w:rsidRPr="0046573F">
              <w:rPr>
                <w:rFonts w:ascii="Calibri" w:hAnsi="Calibri" w:cs="Calibri"/>
                <w:sz w:val="24"/>
                <w:szCs w:val="24"/>
              </w:rPr>
              <w:t xml:space="preserve">with the monitoring and development of the </w:t>
            </w:r>
            <w:r w:rsidR="00AF6695">
              <w:rPr>
                <w:rFonts w:ascii="Calibri" w:hAnsi="Calibri" w:cs="Calibri"/>
                <w:sz w:val="24"/>
                <w:szCs w:val="24"/>
              </w:rPr>
              <w:t>service</w:t>
            </w:r>
            <w:r w:rsidRPr="0046573F">
              <w:rPr>
                <w:rFonts w:ascii="Calibri" w:hAnsi="Calibri" w:cs="Calibri"/>
                <w:sz w:val="24"/>
                <w:szCs w:val="24"/>
              </w:rPr>
              <w:t>. You will ensure that all of the work undertaken</w:t>
            </w:r>
            <w:r w:rsidR="00A159B2" w:rsidRPr="0046573F">
              <w:rPr>
                <w:rFonts w:ascii="Calibri" w:hAnsi="Calibri" w:cs="Calibri"/>
                <w:sz w:val="24"/>
                <w:szCs w:val="24"/>
              </w:rPr>
              <w:t xml:space="preserve"> within the </w:t>
            </w:r>
            <w:r w:rsidR="00ED6177">
              <w:rPr>
                <w:rFonts w:ascii="Calibri" w:hAnsi="Calibri" w:cs="Calibri"/>
                <w:sz w:val="24"/>
                <w:szCs w:val="24"/>
              </w:rPr>
              <w:t>HTO Team</w:t>
            </w:r>
            <w:r w:rsidR="00ED6177" w:rsidRPr="004657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6573F">
              <w:rPr>
                <w:rFonts w:ascii="Calibri" w:hAnsi="Calibri" w:cs="Calibri"/>
                <w:sz w:val="24"/>
                <w:szCs w:val="24"/>
              </w:rPr>
              <w:t xml:space="preserve">is compliant with </w:t>
            </w:r>
            <w:r w:rsidR="00AF6695">
              <w:rPr>
                <w:rFonts w:ascii="Calibri" w:hAnsi="Calibri" w:cs="Calibri"/>
                <w:sz w:val="24"/>
                <w:szCs w:val="24"/>
              </w:rPr>
              <w:t xml:space="preserve">any </w:t>
            </w:r>
            <w:r w:rsidRPr="0046573F">
              <w:rPr>
                <w:rFonts w:ascii="Calibri" w:hAnsi="Calibri" w:cs="Calibri"/>
                <w:sz w:val="24"/>
                <w:szCs w:val="24"/>
              </w:rPr>
              <w:t xml:space="preserve">contractual obligations of the </w:t>
            </w:r>
            <w:r w:rsidR="00AF6695">
              <w:rPr>
                <w:rFonts w:ascii="Calibri" w:hAnsi="Calibri" w:cs="Calibri"/>
                <w:sz w:val="24"/>
                <w:szCs w:val="24"/>
              </w:rPr>
              <w:t>commissioner/f</w:t>
            </w:r>
            <w:r w:rsidRPr="0046573F">
              <w:rPr>
                <w:rFonts w:ascii="Calibri" w:hAnsi="Calibri" w:cs="Calibri"/>
                <w:sz w:val="24"/>
                <w:szCs w:val="24"/>
              </w:rPr>
              <w:t>under</w:t>
            </w:r>
            <w:r w:rsidR="00E715F9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2B7C9D9F" w14:textId="77777777" w:rsidR="00E715F9" w:rsidRDefault="00E715F9" w:rsidP="00F9577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6B7976E" w14:textId="77777777" w:rsidR="00801E5C" w:rsidRPr="005A2D8A" w:rsidRDefault="00E715F9" w:rsidP="004F414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You will be also be responsible for receiving, assessing and processing </w:t>
            </w:r>
            <w:r w:rsidR="00AF669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all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referrals </w:t>
            </w:r>
            <w:r w:rsidR="00AF669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into the </w:t>
            </w:r>
            <w:r w:rsidR="00ED6177">
              <w:rPr>
                <w:rFonts w:ascii="Calibri" w:hAnsi="Calibri" w:cs="Arial"/>
                <w:color w:val="000000"/>
                <w:sz w:val="24"/>
                <w:szCs w:val="24"/>
              </w:rPr>
              <w:t>HTO</w:t>
            </w:r>
            <w:r w:rsidR="00AF669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service.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This role will include undertaking initial </w:t>
            </w:r>
            <w:r w:rsidR="00ED6177">
              <w:rPr>
                <w:rFonts w:ascii="Calibri" w:hAnsi="Calibri" w:cs="Arial"/>
                <w:color w:val="000000"/>
                <w:sz w:val="24"/>
                <w:szCs w:val="24"/>
              </w:rPr>
              <w:t>assessments with clients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</w:t>
            </w:r>
            <w:r w:rsidR="00ED6177">
              <w:rPr>
                <w:rFonts w:ascii="Calibri" w:hAnsi="Calibri" w:cs="Arial"/>
                <w:color w:val="000000"/>
                <w:sz w:val="24"/>
                <w:szCs w:val="24"/>
              </w:rPr>
              <w:t>carrying a reduced caseload</w:t>
            </w:r>
            <w:r w:rsidR="00AF669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2A5C8B46" w14:textId="77777777" w:rsidR="00801E5C" w:rsidRDefault="00771CAB" w:rsidP="00771CAB">
      <w:pPr>
        <w:tabs>
          <w:tab w:val="left" w:pos="333"/>
        </w:tabs>
        <w:spacing w:after="0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31AA5EEC" w14:textId="77777777" w:rsidTr="00813A45">
        <w:tc>
          <w:tcPr>
            <w:tcW w:w="9628" w:type="dxa"/>
            <w:shd w:val="clear" w:color="auto" w:fill="BFBFBF" w:themeFill="background1" w:themeFillShade="BF"/>
          </w:tcPr>
          <w:p w14:paraId="3B57C842" w14:textId="77777777" w:rsidR="00801E5C" w:rsidRDefault="00C5284C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lastRenderedPageBreak/>
              <w:t>Main Duties and Responsibilities</w:t>
            </w:r>
          </w:p>
        </w:tc>
      </w:tr>
      <w:tr w:rsidR="00801E5C" w14:paraId="0C6ABD09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7008607E" w14:textId="77777777" w:rsidR="00801E5C" w:rsidRPr="00777EEC" w:rsidRDefault="00D3656C" w:rsidP="00F867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Senior</w:t>
            </w:r>
            <w:r w:rsidR="00777EEC" w:rsidRPr="00777EEC">
              <w:rPr>
                <w:b/>
                <w:sz w:val="24"/>
              </w:rPr>
              <w:t xml:space="preserve"> Responsibilities</w:t>
            </w:r>
          </w:p>
        </w:tc>
      </w:tr>
      <w:tr w:rsidR="00801E5C" w14:paraId="765BAA50" w14:textId="77777777" w:rsidTr="00801E5C">
        <w:tc>
          <w:tcPr>
            <w:tcW w:w="9628" w:type="dxa"/>
          </w:tcPr>
          <w:p w14:paraId="75E2AE1A" w14:textId="65E9BEE9" w:rsidR="00771CAB" w:rsidRPr="00771CAB" w:rsidRDefault="00CE3830" w:rsidP="008B350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1CAB"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hAnsi="Calibri" w:cs="Calibri"/>
                <w:sz w:val="24"/>
                <w:szCs w:val="24"/>
              </w:rPr>
              <w:t>support</w:t>
            </w:r>
            <w:r w:rsidRPr="00771CAB">
              <w:rPr>
                <w:rFonts w:ascii="Calibri" w:hAnsi="Calibri" w:cs="Calibri"/>
                <w:sz w:val="24"/>
                <w:szCs w:val="24"/>
              </w:rPr>
              <w:t xml:space="preserve"> the recruitment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induction </w:t>
            </w:r>
            <w:r w:rsidRPr="00771CAB">
              <w:rPr>
                <w:rFonts w:ascii="Calibri" w:hAnsi="Calibri" w:cs="Calibri"/>
                <w:sz w:val="24"/>
                <w:szCs w:val="24"/>
              </w:rPr>
              <w:t>of new staff</w:t>
            </w:r>
            <w:r w:rsidRPr="00771CA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and </w:t>
            </w:r>
            <w:r w:rsidR="00771CAB" w:rsidRPr="00771CAB">
              <w:rPr>
                <w:rFonts w:ascii="Calibri" w:hAnsi="Calibri" w:cs="Calibri"/>
                <w:bCs/>
                <w:sz w:val="24"/>
                <w:szCs w:val="24"/>
              </w:rPr>
              <w:t>provide strong leadership</w:t>
            </w:r>
            <w:r w:rsidR="005A2D8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771CAB" w:rsidRPr="00771CAB">
              <w:rPr>
                <w:rFonts w:ascii="Calibri" w:hAnsi="Calibri" w:cs="Calibri"/>
                <w:bCs/>
                <w:sz w:val="24"/>
                <w:szCs w:val="24"/>
              </w:rPr>
              <w:t xml:space="preserve">to the </w:t>
            </w:r>
            <w:r w:rsidR="00ED6177">
              <w:rPr>
                <w:rFonts w:ascii="Calibri" w:hAnsi="Calibri" w:cs="Calibri"/>
                <w:bCs/>
                <w:sz w:val="24"/>
                <w:szCs w:val="24"/>
              </w:rPr>
              <w:t>HTO</w:t>
            </w:r>
            <w:r w:rsidR="00771CAB" w:rsidRPr="00771CAB">
              <w:rPr>
                <w:rFonts w:ascii="Calibri" w:hAnsi="Calibri" w:cs="Calibri"/>
                <w:bCs/>
                <w:sz w:val="24"/>
                <w:szCs w:val="24"/>
              </w:rPr>
              <w:t xml:space="preserve"> Team</w:t>
            </w:r>
            <w:r w:rsidR="00D128DF">
              <w:rPr>
                <w:rFonts w:ascii="Calibri" w:hAnsi="Calibri" w:cs="Calibri"/>
                <w:bCs/>
                <w:sz w:val="24"/>
                <w:szCs w:val="24"/>
              </w:rPr>
              <w:t xml:space="preserve">, including </w:t>
            </w:r>
            <w:r w:rsidR="00845FB7">
              <w:rPr>
                <w:rFonts w:ascii="Calibri" w:hAnsi="Calibri" w:cs="Calibri"/>
                <w:bCs/>
                <w:sz w:val="24"/>
                <w:szCs w:val="24"/>
              </w:rPr>
              <w:t>case management</w:t>
            </w:r>
            <w:r w:rsidR="00D128DF">
              <w:rPr>
                <w:rFonts w:ascii="Calibri" w:hAnsi="Calibri" w:cs="Calibri"/>
                <w:bCs/>
                <w:sz w:val="24"/>
                <w:szCs w:val="24"/>
              </w:rPr>
              <w:t>, training requests and managing complaints</w:t>
            </w:r>
          </w:p>
          <w:p w14:paraId="297611FE" w14:textId="77777777" w:rsidR="00845FB7" w:rsidRPr="00CE3830" w:rsidRDefault="00845FB7" w:rsidP="008B350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To ensure the team provides an effective and efficient high quality service, contributing to the completion of quarterly monitoring returns</w:t>
            </w:r>
          </w:p>
          <w:p w14:paraId="319D0BA6" w14:textId="77777777" w:rsidR="00CE3830" w:rsidRPr="00771CAB" w:rsidRDefault="00CE3830" w:rsidP="00CE3830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71CAB">
              <w:rPr>
                <w:rFonts w:ascii="Calibri" w:hAnsi="Calibri" w:cs="Calibri"/>
                <w:bCs/>
                <w:sz w:val="24"/>
                <w:szCs w:val="24"/>
              </w:rPr>
              <w:t>To provide advice and case direction to staff on complex cases, as required</w:t>
            </w:r>
          </w:p>
          <w:p w14:paraId="2BC9D260" w14:textId="77777777" w:rsidR="00C5284C" w:rsidRPr="00771CAB" w:rsidRDefault="00771CAB" w:rsidP="008B350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71CAB">
              <w:rPr>
                <w:rFonts w:ascii="Calibri" w:hAnsi="Calibri" w:cs="Calibri"/>
                <w:bCs/>
                <w:sz w:val="24"/>
                <w:szCs w:val="24"/>
              </w:rPr>
              <w:t>To actively promote services to all potential referrers through external forums, presentations and other networking opportunities</w:t>
            </w:r>
          </w:p>
          <w:p w14:paraId="09E020EC" w14:textId="77777777" w:rsidR="00D3656C" w:rsidRPr="00771CAB" w:rsidRDefault="00D3656C" w:rsidP="008B350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71CAB">
              <w:rPr>
                <w:rFonts w:ascii="Calibri" w:hAnsi="Calibri" w:cs="Calibri"/>
                <w:bCs/>
                <w:sz w:val="24"/>
                <w:szCs w:val="24"/>
              </w:rPr>
              <w:t xml:space="preserve">To </w:t>
            </w:r>
            <w:r w:rsidR="00D128DF">
              <w:rPr>
                <w:rFonts w:ascii="Calibri" w:hAnsi="Calibri" w:cs="Calibri"/>
                <w:bCs/>
                <w:sz w:val="24"/>
                <w:szCs w:val="24"/>
              </w:rPr>
              <w:t xml:space="preserve">support, and </w:t>
            </w:r>
            <w:r w:rsidRPr="00771CAB">
              <w:rPr>
                <w:rFonts w:ascii="Calibri" w:hAnsi="Calibri" w:cs="Calibri"/>
                <w:bCs/>
                <w:sz w:val="24"/>
                <w:szCs w:val="24"/>
              </w:rPr>
              <w:t>deputise for</w:t>
            </w:r>
            <w:r w:rsidR="00D128DF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771CAB">
              <w:rPr>
                <w:rFonts w:ascii="Calibri" w:hAnsi="Calibri" w:cs="Calibri"/>
                <w:bCs/>
                <w:sz w:val="24"/>
                <w:szCs w:val="24"/>
              </w:rPr>
              <w:t xml:space="preserve"> the </w:t>
            </w:r>
            <w:r w:rsidR="004F414D">
              <w:rPr>
                <w:rFonts w:ascii="Calibri" w:hAnsi="Calibri" w:cs="Calibri"/>
                <w:sz w:val="24"/>
                <w:szCs w:val="24"/>
              </w:rPr>
              <w:t>ASTM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where appropriate</w:t>
            </w:r>
          </w:p>
        </w:tc>
      </w:tr>
      <w:tr w:rsidR="00777EEC" w14:paraId="19A3807C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35A1C230" w14:textId="77777777" w:rsidR="00777EEC" w:rsidRPr="00777EEC" w:rsidRDefault="00D3656C" w:rsidP="00F867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Frontline </w:t>
            </w:r>
            <w:r w:rsidR="00777EEC" w:rsidRPr="00777EEC">
              <w:rPr>
                <w:b/>
                <w:sz w:val="24"/>
              </w:rPr>
              <w:t>Responsibilities</w:t>
            </w:r>
          </w:p>
        </w:tc>
      </w:tr>
      <w:tr w:rsidR="00777EEC" w14:paraId="03132410" w14:textId="77777777" w:rsidTr="00777EEC">
        <w:tc>
          <w:tcPr>
            <w:tcW w:w="9628" w:type="dxa"/>
          </w:tcPr>
          <w:p w14:paraId="3084CEBE" w14:textId="009B9778" w:rsidR="008B3509" w:rsidRDefault="008B3509" w:rsidP="00A6190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 xml:space="preserve">To work with a reduced caseload of clients (to be agreed with the </w:t>
            </w:r>
            <w:r w:rsidR="004F414D">
              <w:rPr>
                <w:rFonts w:ascii="Calibri" w:hAnsi="Calibri" w:cs="Calibri"/>
                <w:sz w:val="24"/>
                <w:szCs w:val="24"/>
              </w:rPr>
              <w:t>ASTM</w:t>
            </w:r>
            <w:r w:rsidRPr="00800817">
              <w:rPr>
                <w:rFonts w:ascii="Calibri" w:hAnsi="Calibri" w:cs="Arial"/>
                <w:sz w:val="24"/>
                <w:szCs w:val="24"/>
              </w:rPr>
              <w:t>)</w:t>
            </w:r>
          </w:p>
          <w:p w14:paraId="71FC239D" w14:textId="77777777" w:rsidR="00CE3830" w:rsidRPr="00CE3830" w:rsidRDefault="00CE3830" w:rsidP="00A6190C">
            <w:pPr>
              <w:widowControl w:val="0"/>
              <w:numPr>
                <w:ilvl w:val="0"/>
                <w:numId w:val="5"/>
              </w:numPr>
              <w:tabs>
                <w:tab w:val="left" w:pos="754"/>
                <w:tab w:val="left" w:pos="146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ensure that</w:t>
            </w:r>
            <w:r w:rsidRPr="003E399D">
              <w:rPr>
                <w:rFonts w:ascii="Calibri" w:hAnsi="Calibri" w:cs="Arial"/>
                <w:sz w:val="24"/>
                <w:szCs w:val="24"/>
              </w:rPr>
              <w:t xml:space="preserve"> client information</w:t>
            </w:r>
            <w:r>
              <w:rPr>
                <w:rFonts w:ascii="Calibri" w:hAnsi="Calibri" w:cs="Arial"/>
                <w:sz w:val="24"/>
                <w:szCs w:val="24"/>
              </w:rPr>
              <w:t xml:space="preserve"> on our CMS (ECCO) is up to date and accurate</w:t>
            </w:r>
            <w:r w:rsidRPr="008B3509">
              <w:rPr>
                <w:rFonts w:ascii="Calibri" w:hAnsi="Calibri" w:cs="Calibri"/>
                <w:sz w:val="24"/>
                <w:szCs w:val="24"/>
              </w:rPr>
              <w:t xml:space="preserve"> in accordance with the relevant funders</w:t>
            </w:r>
          </w:p>
          <w:p w14:paraId="70EF4102" w14:textId="77777777" w:rsidR="00E715F9" w:rsidRPr="00800817" w:rsidRDefault="005A2D8A" w:rsidP="00A6190C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>To establish the</w:t>
            </w:r>
            <w:r w:rsidR="008B3509" w:rsidRPr="00800817">
              <w:rPr>
                <w:rFonts w:ascii="Calibri" w:hAnsi="Calibri" w:cs="Arial"/>
                <w:sz w:val="24"/>
                <w:szCs w:val="24"/>
              </w:rPr>
              <w:t xml:space="preserve"> eligibility of</w:t>
            </w:r>
            <w:r w:rsidR="004F414D">
              <w:rPr>
                <w:rFonts w:ascii="Calibri" w:hAnsi="Calibri" w:cs="Arial"/>
                <w:sz w:val="24"/>
                <w:szCs w:val="24"/>
              </w:rPr>
              <w:t>,</w:t>
            </w:r>
            <w:r w:rsidR="008B3509" w:rsidRPr="0080081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00817">
              <w:rPr>
                <w:rFonts w:ascii="Calibri" w:hAnsi="Calibri" w:cs="Arial"/>
                <w:sz w:val="24"/>
                <w:szCs w:val="24"/>
              </w:rPr>
              <w:t xml:space="preserve">and </w:t>
            </w:r>
            <w:r w:rsidR="008B3509" w:rsidRPr="00800817">
              <w:rPr>
                <w:rFonts w:ascii="Calibri" w:hAnsi="Calibri" w:cs="Arial"/>
                <w:sz w:val="24"/>
                <w:szCs w:val="24"/>
              </w:rPr>
              <w:t>coordinate</w:t>
            </w:r>
            <w:r w:rsidR="004F414D">
              <w:rPr>
                <w:rFonts w:ascii="Calibri" w:hAnsi="Calibri" w:cs="Arial"/>
                <w:sz w:val="24"/>
                <w:szCs w:val="24"/>
              </w:rPr>
              <w:t>,</w:t>
            </w:r>
            <w:r w:rsidR="008B3509" w:rsidRPr="0080081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715F9" w:rsidRPr="00800817">
              <w:rPr>
                <w:rFonts w:ascii="Calibri" w:hAnsi="Calibri" w:cs="Arial"/>
                <w:sz w:val="24"/>
                <w:szCs w:val="24"/>
              </w:rPr>
              <w:t xml:space="preserve">referrals made to the </w:t>
            </w:r>
            <w:r w:rsidR="008B3509" w:rsidRPr="00800817">
              <w:rPr>
                <w:rFonts w:ascii="Calibri" w:hAnsi="Calibri" w:cs="Arial"/>
                <w:sz w:val="24"/>
                <w:szCs w:val="24"/>
              </w:rPr>
              <w:t>HTO</w:t>
            </w:r>
            <w:r w:rsidR="00E715F9" w:rsidRPr="00800817">
              <w:rPr>
                <w:rFonts w:ascii="Calibri" w:hAnsi="Calibri" w:cs="Arial"/>
                <w:sz w:val="24"/>
                <w:szCs w:val="24"/>
              </w:rPr>
              <w:t xml:space="preserve"> Service</w:t>
            </w:r>
            <w:r w:rsidR="008B3509" w:rsidRPr="00800817">
              <w:rPr>
                <w:rFonts w:ascii="Calibri" w:hAnsi="Calibri" w:cs="Arial"/>
                <w:sz w:val="24"/>
                <w:szCs w:val="24"/>
              </w:rPr>
              <w:t xml:space="preserve">, liaising regularly with </w:t>
            </w:r>
            <w:r w:rsidR="004F414D">
              <w:rPr>
                <w:rFonts w:ascii="Calibri" w:hAnsi="Calibri" w:cs="Calibri"/>
                <w:sz w:val="24"/>
                <w:szCs w:val="24"/>
              </w:rPr>
              <w:t>ASTM</w:t>
            </w:r>
            <w:r w:rsidR="008B3509" w:rsidRPr="00800817">
              <w:rPr>
                <w:rFonts w:ascii="Calibri" w:hAnsi="Calibri" w:cs="Arial"/>
                <w:sz w:val="24"/>
                <w:szCs w:val="24"/>
              </w:rPr>
              <w:t xml:space="preserve"> to ensure this process is working effectively</w:t>
            </w:r>
          </w:p>
          <w:p w14:paraId="259DD70D" w14:textId="77777777" w:rsidR="008B3509" w:rsidRPr="00800817" w:rsidRDefault="008B3509" w:rsidP="00A6190C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>To manage the waiting list for the service, monitoring the awards of waiting list points, keeping in touch routinely with clients waiting for services</w:t>
            </w:r>
          </w:p>
          <w:p w14:paraId="334FC1CD" w14:textId="77777777" w:rsidR="00800817" w:rsidRDefault="00E715F9" w:rsidP="00A6190C">
            <w:pPr>
              <w:widowControl w:val="0"/>
              <w:numPr>
                <w:ilvl w:val="0"/>
                <w:numId w:val="5"/>
              </w:numPr>
              <w:tabs>
                <w:tab w:val="left" w:pos="754"/>
                <w:tab w:val="left" w:pos="146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>To monitor closure of support and allocation of new clients to support workers</w:t>
            </w:r>
          </w:p>
          <w:p w14:paraId="15CA922B" w14:textId="77777777" w:rsidR="00800817" w:rsidRPr="00800817" w:rsidRDefault="008B3509" w:rsidP="00A619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 xml:space="preserve">To provide </w:t>
            </w:r>
            <w:r w:rsidR="00800817">
              <w:rPr>
                <w:rFonts w:ascii="Calibri" w:hAnsi="Calibri" w:cs="Arial"/>
                <w:sz w:val="24"/>
                <w:szCs w:val="24"/>
              </w:rPr>
              <w:t>specialist</w:t>
            </w:r>
            <w:r w:rsidRPr="00800817">
              <w:rPr>
                <w:rFonts w:ascii="Calibri" w:hAnsi="Calibri" w:cs="Arial"/>
                <w:sz w:val="24"/>
                <w:szCs w:val="24"/>
              </w:rPr>
              <w:t xml:space="preserve"> housing </w:t>
            </w:r>
            <w:r w:rsidR="00800817">
              <w:rPr>
                <w:rFonts w:ascii="Calibri" w:hAnsi="Calibri" w:cs="Arial"/>
                <w:sz w:val="24"/>
                <w:szCs w:val="24"/>
              </w:rPr>
              <w:t>advice including</w:t>
            </w:r>
            <w:r w:rsidR="004F414D">
              <w:rPr>
                <w:rFonts w:ascii="Calibri" w:hAnsi="Calibri" w:cs="Arial"/>
                <w:sz w:val="24"/>
                <w:szCs w:val="24"/>
              </w:rPr>
              <w:t xml:space="preserve"> but not exclusive to</w:t>
            </w:r>
            <w:r w:rsidR="00800817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="00800817" w:rsidRPr="00800817">
              <w:rPr>
                <w:rFonts w:ascii="Calibri" w:hAnsi="Calibri" w:cs="Arial"/>
                <w:sz w:val="24"/>
                <w:szCs w:val="24"/>
              </w:rPr>
              <w:t xml:space="preserve"> negotiation, advocacy, verbally and in writing; researching rights; homeless and allocations reviews; </w:t>
            </w:r>
          </w:p>
          <w:p w14:paraId="1756340B" w14:textId="6C0E8978" w:rsidR="008B3509" w:rsidRPr="00800817" w:rsidRDefault="008B3509" w:rsidP="00A6190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 xml:space="preserve">To assess </w:t>
            </w:r>
            <w:r w:rsidR="00800817">
              <w:rPr>
                <w:rFonts w:ascii="Calibri" w:hAnsi="Calibri" w:cs="Arial"/>
                <w:sz w:val="24"/>
                <w:szCs w:val="24"/>
              </w:rPr>
              <w:t xml:space="preserve">and regularly review </w:t>
            </w:r>
            <w:r w:rsidRPr="00800817">
              <w:rPr>
                <w:rFonts w:ascii="Calibri" w:hAnsi="Calibri" w:cs="Arial"/>
                <w:sz w:val="24"/>
                <w:szCs w:val="24"/>
              </w:rPr>
              <w:t>the needs of clients and involve them in</w:t>
            </w:r>
            <w:r w:rsidR="00800817">
              <w:rPr>
                <w:rFonts w:ascii="Calibri" w:hAnsi="Calibri" w:cs="Arial"/>
                <w:sz w:val="24"/>
                <w:szCs w:val="24"/>
              </w:rPr>
              <w:t xml:space="preserve"> developing a needs assessment, </w:t>
            </w:r>
            <w:r w:rsidRPr="00800817">
              <w:rPr>
                <w:rFonts w:ascii="Calibri" w:hAnsi="Calibri" w:cs="Arial"/>
                <w:sz w:val="24"/>
                <w:szCs w:val="24"/>
              </w:rPr>
              <w:t>action plan</w:t>
            </w:r>
            <w:r w:rsidR="00800817">
              <w:rPr>
                <w:rFonts w:ascii="Calibri" w:hAnsi="Calibri" w:cs="Arial"/>
                <w:sz w:val="24"/>
                <w:szCs w:val="24"/>
              </w:rPr>
              <w:t>s and risk assessments</w:t>
            </w:r>
            <w:r w:rsidRPr="00800817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61175B37" w14:textId="04BCA740" w:rsidR="008B3509" w:rsidRPr="00800817" w:rsidRDefault="008B3509" w:rsidP="00A6190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 xml:space="preserve">To support homeless clients </w:t>
            </w:r>
            <w:r w:rsidR="00800817">
              <w:rPr>
                <w:rFonts w:ascii="Calibri" w:hAnsi="Calibri" w:cs="Arial"/>
                <w:sz w:val="24"/>
                <w:szCs w:val="24"/>
              </w:rPr>
              <w:t>to obtain and move</w:t>
            </w:r>
            <w:r w:rsidRPr="00800817">
              <w:rPr>
                <w:rFonts w:ascii="Calibri" w:hAnsi="Calibri" w:cs="Arial"/>
                <w:sz w:val="24"/>
                <w:szCs w:val="24"/>
              </w:rPr>
              <w:t xml:space="preserve"> into independent accommodation </w:t>
            </w:r>
          </w:p>
          <w:p w14:paraId="58134949" w14:textId="77777777" w:rsidR="008B3509" w:rsidRPr="00800817" w:rsidRDefault="008B3509" w:rsidP="00A6190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 xml:space="preserve">To provide </w:t>
            </w:r>
            <w:r w:rsidR="00800817">
              <w:rPr>
                <w:rFonts w:ascii="Calibri" w:hAnsi="Calibri" w:cs="Arial"/>
                <w:sz w:val="24"/>
                <w:szCs w:val="24"/>
              </w:rPr>
              <w:t xml:space="preserve">holistic housing </w:t>
            </w:r>
            <w:r w:rsidRPr="00800817">
              <w:rPr>
                <w:rFonts w:ascii="Calibri" w:hAnsi="Calibri" w:cs="Arial"/>
                <w:sz w:val="24"/>
                <w:szCs w:val="24"/>
              </w:rPr>
              <w:t>support</w:t>
            </w:r>
            <w:r w:rsidR="00800817">
              <w:rPr>
                <w:rFonts w:ascii="Calibri" w:hAnsi="Calibri" w:cs="Arial"/>
                <w:sz w:val="24"/>
                <w:szCs w:val="24"/>
              </w:rPr>
              <w:t xml:space="preserve"> in order to improve</w:t>
            </w:r>
            <w:r w:rsidRPr="00800817">
              <w:rPr>
                <w:rFonts w:ascii="Calibri" w:hAnsi="Calibri" w:cs="Arial"/>
                <w:sz w:val="24"/>
                <w:szCs w:val="24"/>
              </w:rPr>
              <w:t xml:space="preserve"> life skills </w:t>
            </w:r>
            <w:r w:rsidR="00800817">
              <w:rPr>
                <w:rFonts w:ascii="Calibri" w:hAnsi="Calibri" w:cs="Arial"/>
                <w:sz w:val="24"/>
                <w:szCs w:val="24"/>
              </w:rPr>
              <w:t xml:space="preserve">such as; </w:t>
            </w:r>
            <w:r w:rsidRPr="00800817">
              <w:rPr>
                <w:rFonts w:ascii="Calibri" w:hAnsi="Calibri" w:cs="Arial"/>
                <w:sz w:val="24"/>
                <w:szCs w:val="24"/>
              </w:rPr>
              <w:t xml:space="preserve">budgeting, </w:t>
            </w:r>
            <w:r w:rsidR="00CE3830">
              <w:rPr>
                <w:rFonts w:ascii="Calibri" w:hAnsi="Calibri" w:cs="Arial"/>
                <w:sz w:val="24"/>
                <w:szCs w:val="24"/>
              </w:rPr>
              <w:t xml:space="preserve">maximising </w:t>
            </w:r>
            <w:r w:rsidR="00800817">
              <w:rPr>
                <w:rFonts w:ascii="Calibri" w:hAnsi="Calibri" w:cs="Arial"/>
                <w:sz w:val="24"/>
                <w:szCs w:val="24"/>
              </w:rPr>
              <w:t xml:space="preserve">income, </w:t>
            </w:r>
            <w:r w:rsidRPr="00800817">
              <w:rPr>
                <w:rFonts w:ascii="Calibri" w:hAnsi="Calibri" w:cs="Arial"/>
                <w:sz w:val="24"/>
                <w:szCs w:val="24"/>
              </w:rPr>
              <w:t xml:space="preserve">dealing with correspondence, </w:t>
            </w:r>
            <w:r w:rsidR="00800817" w:rsidRPr="00800817">
              <w:rPr>
                <w:rFonts w:ascii="Calibri" w:hAnsi="Calibri" w:cs="Arial"/>
                <w:sz w:val="24"/>
                <w:szCs w:val="24"/>
              </w:rPr>
              <w:t xml:space="preserve">accessing </w:t>
            </w:r>
            <w:r w:rsidR="00800817">
              <w:rPr>
                <w:rFonts w:ascii="Calibri" w:hAnsi="Calibri" w:cs="Arial"/>
                <w:sz w:val="24"/>
                <w:szCs w:val="24"/>
              </w:rPr>
              <w:t xml:space="preserve">employment, </w:t>
            </w:r>
            <w:r w:rsidR="00800817" w:rsidRPr="00800817">
              <w:rPr>
                <w:rFonts w:ascii="Calibri" w:hAnsi="Calibri" w:cs="Arial"/>
                <w:sz w:val="24"/>
                <w:szCs w:val="24"/>
              </w:rPr>
              <w:t xml:space="preserve">training or education </w:t>
            </w:r>
            <w:r w:rsidR="00800817">
              <w:rPr>
                <w:rFonts w:ascii="Calibri" w:hAnsi="Calibri" w:cs="Arial"/>
                <w:sz w:val="24"/>
                <w:szCs w:val="24"/>
              </w:rPr>
              <w:t xml:space="preserve">and </w:t>
            </w:r>
            <w:r w:rsidRPr="00800817">
              <w:rPr>
                <w:rFonts w:ascii="Calibri" w:hAnsi="Calibri" w:cs="Arial"/>
                <w:sz w:val="24"/>
                <w:szCs w:val="24"/>
              </w:rPr>
              <w:t xml:space="preserve">adjusting to being housed after a </w:t>
            </w:r>
            <w:r w:rsidR="00800817" w:rsidRPr="00800817">
              <w:rPr>
                <w:rFonts w:ascii="Calibri" w:hAnsi="Calibri" w:cs="Arial"/>
                <w:sz w:val="24"/>
                <w:szCs w:val="24"/>
              </w:rPr>
              <w:t>period of street homelessness</w:t>
            </w:r>
          </w:p>
          <w:p w14:paraId="76EF5C78" w14:textId="77777777" w:rsidR="008B3509" w:rsidRDefault="008B3509" w:rsidP="00A6190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 xml:space="preserve">To support clients to overcome barriers causing social isolation, encouraging access to community groups and recreational facilities. </w:t>
            </w:r>
          </w:p>
          <w:p w14:paraId="57BB5776" w14:textId="77777777" w:rsidR="0032725F" w:rsidRPr="0032725F" w:rsidRDefault="0032725F" w:rsidP="0032725F">
            <w:pPr>
              <w:ind w:left="7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9172B0D" w14:textId="77777777" w:rsidR="008B3509" w:rsidRPr="00800817" w:rsidRDefault="008B3509" w:rsidP="00800817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00817">
              <w:rPr>
                <w:rFonts w:ascii="Calibri" w:hAnsi="Calibri" w:cs="Arial"/>
                <w:b/>
                <w:bCs/>
                <w:sz w:val="24"/>
                <w:szCs w:val="24"/>
              </w:rPr>
              <w:t>Links with Other Agencies</w:t>
            </w:r>
          </w:p>
          <w:p w14:paraId="18DB5BC1" w14:textId="5468FB6B" w:rsidR="001D5777" w:rsidRDefault="001D5777" w:rsidP="00A6190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work with local authority housing departments to ensure that the programme is aligned to, and supports the delivery of the Homeless Reduction Act</w:t>
            </w:r>
          </w:p>
          <w:p w14:paraId="325BC046" w14:textId="5A822869" w:rsidR="0032725F" w:rsidRDefault="0032725F" w:rsidP="00A6190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lastRenderedPageBreak/>
              <w:t xml:space="preserve">To work effectively with other specialist agencies to meet any additional needs of the </w:t>
            </w:r>
            <w:r>
              <w:rPr>
                <w:rFonts w:ascii="Calibri" w:hAnsi="Calibri" w:cs="Arial"/>
                <w:sz w:val="24"/>
                <w:szCs w:val="24"/>
              </w:rPr>
              <w:t>client</w:t>
            </w:r>
            <w:r w:rsidRPr="00800817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6A0A9100" w14:textId="676F6665" w:rsidR="00A6190C" w:rsidRPr="00A6190C" w:rsidRDefault="00A6190C" w:rsidP="00A6190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71CAB">
              <w:rPr>
                <w:rFonts w:ascii="Calibri" w:hAnsi="Calibri" w:cs="Calibri"/>
                <w:bCs/>
                <w:sz w:val="24"/>
                <w:szCs w:val="24"/>
              </w:rPr>
              <w:t>To work closely with Social Care Services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and other agencies</w:t>
            </w:r>
            <w:r w:rsidRPr="00771CAB">
              <w:rPr>
                <w:rFonts w:ascii="Calibri" w:hAnsi="Calibri" w:cs="Calibri"/>
                <w:bCs/>
                <w:sz w:val="24"/>
                <w:szCs w:val="24"/>
              </w:rPr>
              <w:t xml:space="preserve"> if there are issues around the safety of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vulnerable adults and/or children </w:t>
            </w:r>
          </w:p>
          <w:p w14:paraId="04EC0A03" w14:textId="77777777" w:rsidR="008B3509" w:rsidRPr="00800817" w:rsidRDefault="008B3509" w:rsidP="00A6190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800817">
              <w:rPr>
                <w:rFonts w:ascii="Calibri" w:hAnsi="Calibri" w:cs="Arial"/>
                <w:bCs/>
                <w:sz w:val="24"/>
                <w:szCs w:val="24"/>
              </w:rPr>
              <w:t>To work closely with the DNLR CRC and Prison Services to coordinate a joined up approach</w:t>
            </w:r>
            <w:r w:rsidR="00800817">
              <w:rPr>
                <w:rFonts w:ascii="Calibri" w:hAnsi="Calibri" w:cs="Arial"/>
                <w:bCs/>
                <w:sz w:val="24"/>
                <w:szCs w:val="24"/>
              </w:rPr>
              <w:t xml:space="preserve"> and seamless pathway</w:t>
            </w:r>
            <w:r w:rsidRPr="00800817">
              <w:rPr>
                <w:rFonts w:ascii="Calibri" w:hAnsi="Calibri" w:cs="Arial"/>
                <w:bCs/>
                <w:sz w:val="24"/>
                <w:szCs w:val="24"/>
              </w:rPr>
              <w:t xml:space="preserve">, in line with the sub-regional </w:t>
            </w:r>
            <w:r w:rsidRPr="00800817">
              <w:rPr>
                <w:rFonts w:cstheme="minorHAnsi"/>
                <w:color w:val="000000" w:themeColor="text1"/>
                <w:sz w:val="24"/>
                <w:szCs w:val="24"/>
              </w:rPr>
              <w:t>Multi-agency Prison Release Protocol</w:t>
            </w:r>
          </w:p>
          <w:p w14:paraId="6E48BAA0" w14:textId="77777777" w:rsidR="008B3509" w:rsidRPr="00800817" w:rsidRDefault="00CE3830" w:rsidP="00A6190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 support P</w:t>
            </w:r>
            <w:r w:rsidR="008B3509" w:rsidRPr="00800817">
              <w:rPr>
                <w:rFonts w:cstheme="minorHAnsi"/>
                <w:color w:val="000000" w:themeColor="text1"/>
                <w:sz w:val="24"/>
                <w:szCs w:val="24"/>
              </w:rPr>
              <w:t>olice implementation of the sub-regional Rough Sleeping and Street Begging Protocol</w:t>
            </w:r>
          </w:p>
          <w:p w14:paraId="772C8C66" w14:textId="4E553D9A" w:rsidR="00C5284C" w:rsidRPr="00CE3830" w:rsidRDefault="008B3509" w:rsidP="00A6190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800817">
              <w:rPr>
                <w:rFonts w:ascii="Calibri" w:hAnsi="Calibri" w:cs="Arial"/>
                <w:bCs/>
                <w:sz w:val="24"/>
                <w:szCs w:val="24"/>
              </w:rPr>
              <w:t>To attend relevant meetings</w:t>
            </w:r>
            <w:r w:rsidR="00CE3830">
              <w:rPr>
                <w:rFonts w:ascii="Calibri" w:hAnsi="Calibri" w:cs="Arial"/>
                <w:bCs/>
                <w:sz w:val="24"/>
                <w:szCs w:val="24"/>
              </w:rPr>
              <w:t xml:space="preserve"> and forums</w:t>
            </w:r>
            <w:r w:rsidRPr="00800817">
              <w:rPr>
                <w:rFonts w:ascii="Calibri" w:hAnsi="Calibri" w:cs="Arial"/>
                <w:bCs/>
                <w:sz w:val="24"/>
                <w:szCs w:val="24"/>
              </w:rPr>
              <w:t xml:space="preserve">, such as, </w:t>
            </w:r>
            <w:r w:rsidR="00CE3830">
              <w:rPr>
                <w:rFonts w:ascii="Calibri" w:hAnsi="Calibri" w:cs="Arial"/>
                <w:bCs/>
                <w:sz w:val="24"/>
                <w:szCs w:val="24"/>
              </w:rPr>
              <w:t>Resettlement Fayres,</w:t>
            </w:r>
            <w:r w:rsidR="00CE3830" w:rsidRPr="00800817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Pr="00800817">
              <w:rPr>
                <w:rFonts w:ascii="Calibri" w:hAnsi="Calibri" w:cs="Arial"/>
                <w:bCs/>
                <w:sz w:val="24"/>
                <w:szCs w:val="24"/>
              </w:rPr>
              <w:t>case conferences, ABC meetings with Landlords and other age</w:t>
            </w:r>
            <w:r w:rsidR="00CE3830">
              <w:rPr>
                <w:rFonts w:ascii="Calibri" w:hAnsi="Calibri" w:cs="Arial"/>
                <w:bCs/>
                <w:sz w:val="24"/>
                <w:szCs w:val="24"/>
              </w:rPr>
              <w:t>ncies involved with your cases</w:t>
            </w:r>
          </w:p>
        </w:tc>
      </w:tr>
      <w:tr w:rsidR="00801E5C" w14:paraId="1438C952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105B28CC" w14:textId="77777777" w:rsidR="00801E5C" w:rsidRPr="00800817" w:rsidRDefault="00801E5C" w:rsidP="00F86730">
            <w:pPr>
              <w:jc w:val="both"/>
              <w:rPr>
                <w:b/>
                <w:sz w:val="24"/>
                <w:szCs w:val="24"/>
              </w:rPr>
            </w:pPr>
            <w:r w:rsidRPr="00800817">
              <w:rPr>
                <w:b/>
                <w:sz w:val="24"/>
                <w:szCs w:val="24"/>
              </w:rPr>
              <w:lastRenderedPageBreak/>
              <w:t>General</w:t>
            </w:r>
            <w:r w:rsidR="00777EEC" w:rsidRPr="00800817">
              <w:rPr>
                <w:b/>
                <w:sz w:val="24"/>
                <w:szCs w:val="24"/>
              </w:rPr>
              <w:t xml:space="preserve"> Organisational Duties</w:t>
            </w:r>
          </w:p>
        </w:tc>
      </w:tr>
      <w:tr w:rsidR="00801E5C" w14:paraId="4507E3FE" w14:textId="77777777" w:rsidTr="00801E5C">
        <w:tc>
          <w:tcPr>
            <w:tcW w:w="9628" w:type="dxa"/>
          </w:tcPr>
          <w:p w14:paraId="61900389" w14:textId="77777777" w:rsidR="00777EEC" w:rsidRPr="00800817" w:rsidRDefault="00777EEC" w:rsidP="00C5284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>To comply with, and adhere to, The Bridge’s Quality Management System (QMS)</w:t>
            </w:r>
          </w:p>
          <w:p w14:paraId="6CE49A2D" w14:textId="77777777" w:rsidR="00777EEC" w:rsidRPr="00800817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>To take responsibility for producing your own correspondence</w:t>
            </w:r>
          </w:p>
          <w:p w14:paraId="18FB9069" w14:textId="77777777" w:rsidR="00777EEC" w:rsidRPr="00800817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 xml:space="preserve">To take </w:t>
            </w:r>
            <w:r w:rsidR="00A72E24" w:rsidRPr="00800817">
              <w:rPr>
                <w:rFonts w:ascii="Calibri" w:hAnsi="Calibri" w:cs="Arial"/>
                <w:sz w:val="24"/>
                <w:szCs w:val="24"/>
              </w:rPr>
              <w:t>engage with, and contribute in,</w:t>
            </w:r>
            <w:r w:rsidRPr="00800817">
              <w:rPr>
                <w:rFonts w:ascii="Calibri" w:hAnsi="Calibri" w:cs="Arial"/>
                <w:sz w:val="24"/>
                <w:szCs w:val="24"/>
              </w:rPr>
              <w:t xml:space="preserve"> your own Training and Continual Professional Development</w:t>
            </w:r>
          </w:p>
          <w:p w14:paraId="05DFBA87" w14:textId="77777777" w:rsidR="00777EEC" w:rsidRPr="00800817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>To embed and exhibit The Bridge’s Values and Ethos in your work</w:t>
            </w:r>
          </w:p>
          <w:p w14:paraId="7303913A" w14:textId="77777777" w:rsidR="00801E5C" w:rsidRPr="00800817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 xml:space="preserve">To take responsibility for your own health and safety and that of others in line with The Bridge’s Health and Safety </w:t>
            </w:r>
            <w:r w:rsidR="00C5284C" w:rsidRPr="00800817">
              <w:rPr>
                <w:rFonts w:ascii="Calibri" w:hAnsi="Calibri" w:cs="Arial"/>
                <w:sz w:val="24"/>
                <w:szCs w:val="24"/>
              </w:rPr>
              <w:t>P</w:t>
            </w:r>
            <w:r w:rsidRPr="00800817">
              <w:rPr>
                <w:rFonts w:ascii="Calibri" w:hAnsi="Calibri" w:cs="Arial"/>
                <w:sz w:val="24"/>
                <w:szCs w:val="24"/>
              </w:rPr>
              <w:t>olicy</w:t>
            </w:r>
          </w:p>
          <w:p w14:paraId="6AE74325" w14:textId="77777777" w:rsidR="0032725F" w:rsidRPr="00CE3830" w:rsidRDefault="00C5284C" w:rsidP="00CE383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>To undertake other duties as required by the Chief Officer to ensure the smooth running of The Bridge</w:t>
            </w:r>
          </w:p>
        </w:tc>
      </w:tr>
      <w:tr w:rsidR="00C5284C" w14:paraId="6E6AA353" w14:textId="77777777" w:rsidTr="00813A45">
        <w:tc>
          <w:tcPr>
            <w:tcW w:w="9628" w:type="dxa"/>
            <w:shd w:val="clear" w:color="auto" w:fill="D9D9D9" w:themeFill="background1" w:themeFillShade="D9"/>
          </w:tcPr>
          <w:p w14:paraId="5AC2635C" w14:textId="77777777" w:rsidR="00C5284C" w:rsidRPr="00800817" w:rsidRDefault="00C5284C" w:rsidP="00F86730">
            <w:pPr>
              <w:jc w:val="both"/>
              <w:rPr>
                <w:b/>
                <w:sz w:val="24"/>
                <w:szCs w:val="24"/>
              </w:rPr>
            </w:pPr>
            <w:r w:rsidRPr="00800817">
              <w:rPr>
                <w:b/>
                <w:sz w:val="24"/>
                <w:szCs w:val="24"/>
              </w:rPr>
              <w:t>Special Factors</w:t>
            </w:r>
          </w:p>
        </w:tc>
      </w:tr>
      <w:tr w:rsidR="00C5284C" w14:paraId="1F145F51" w14:textId="77777777" w:rsidTr="00813A45">
        <w:tc>
          <w:tcPr>
            <w:tcW w:w="9628" w:type="dxa"/>
          </w:tcPr>
          <w:p w14:paraId="0C089E5E" w14:textId="77777777" w:rsidR="00C5284C" w:rsidRPr="00800817" w:rsidRDefault="00C5284C" w:rsidP="00813A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>This role is required to work occasional evenings and weekends</w:t>
            </w:r>
          </w:p>
          <w:p w14:paraId="41B02F53" w14:textId="77777777" w:rsidR="00C5284C" w:rsidRPr="00800817" w:rsidRDefault="00C5284C" w:rsidP="00813A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00817">
              <w:rPr>
                <w:rFonts w:ascii="Calibri" w:hAnsi="Calibri" w:cs="Arial"/>
                <w:sz w:val="24"/>
                <w:szCs w:val="24"/>
              </w:rPr>
              <w:t>This role requires a full driving licence and a car</w:t>
            </w:r>
          </w:p>
        </w:tc>
      </w:tr>
    </w:tbl>
    <w:p w14:paraId="6B9969EF" w14:textId="77777777" w:rsidR="0060116A" w:rsidRDefault="0060116A" w:rsidP="001D49A0">
      <w:pPr>
        <w:spacing w:after="0"/>
        <w:rPr>
          <w:sz w:val="24"/>
        </w:rPr>
      </w:pPr>
    </w:p>
    <w:p w14:paraId="7781E8E9" w14:textId="77777777" w:rsidR="0042035F" w:rsidRDefault="0042035F" w:rsidP="001D49A0">
      <w:pPr>
        <w:spacing w:after="0"/>
        <w:rPr>
          <w:sz w:val="24"/>
        </w:rPr>
      </w:pPr>
    </w:p>
    <w:p w14:paraId="4DD132D9" w14:textId="77777777" w:rsidR="0042035F" w:rsidRDefault="0042035F" w:rsidP="001D49A0">
      <w:pPr>
        <w:spacing w:after="0"/>
        <w:rPr>
          <w:sz w:val="24"/>
        </w:rPr>
      </w:pPr>
    </w:p>
    <w:p w14:paraId="6D988094" w14:textId="77777777" w:rsidR="001D49A0" w:rsidRDefault="001D49A0" w:rsidP="001D49A0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7EEC" w14:paraId="4E1E2BE1" w14:textId="77777777" w:rsidTr="00813A45">
        <w:tc>
          <w:tcPr>
            <w:tcW w:w="9628" w:type="dxa"/>
            <w:shd w:val="clear" w:color="auto" w:fill="BFBFBF" w:themeFill="background1" w:themeFillShade="BF"/>
          </w:tcPr>
          <w:p w14:paraId="0E898E20" w14:textId="77777777" w:rsidR="00777EEC" w:rsidRDefault="00777EEC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Person Specification</w:t>
            </w:r>
          </w:p>
        </w:tc>
      </w:tr>
    </w:tbl>
    <w:p w14:paraId="768630CD" w14:textId="77777777" w:rsidR="000B6D8F" w:rsidRDefault="000B6D8F" w:rsidP="000B6D8F">
      <w:pPr>
        <w:spacing w:after="0"/>
        <w:jc w:val="both"/>
        <w:rPr>
          <w:sz w:val="24"/>
        </w:rPr>
      </w:pPr>
    </w:p>
    <w:p w14:paraId="150B0F0D" w14:textId="77777777" w:rsidR="00B33387" w:rsidRDefault="00B33387" w:rsidP="000B6D8F">
      <w:pPr>
        <w:spacing w:after="0"/>
        <w:jc w:val="both"/>
        <w:rPr>
          <w:sz w:val="24"/>
        </w:rPr>
      </w:pPr>
      <w:r>
        <w:rPr>
          <w:sz w:val="24"/>
        </w:rPr>
        <w:lastRenderedPageBreak/>
        <w:t>The following criteria define the relevant knowledge, experience, skills and abilities which a candidate will need to demonstrate throughout the recruitment process.  The criteria will be assessed at different stages including Application (A), Interview (I), Test (T) and/</w:t>
      </w:r>
      <w:r w:rsidR="00BF5D62">
        <w:rPr>
          <w:sz w:val="24"/>
        </w:rPr>
        <w:t>or</w:t>
      </w:r>
      <w:r>
        <w:rPr>
          <w:sz w:val="24"/>
        </w:rPr>
        <w:t xml:space="preserve"> Presentation (P).</w:t>
      </w:r>
    </w:p>
    <w:p w14:paraId="644D32D2" w14:textId="77777777" w:rsidR="000B6D8F" w:rsidRDefault="000B6D8F" w:rsidP="000B6D8F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6708"/>
        <w:gridCol w:w="567"/>
        <w:gridCol w:w="567"/>
        <w:gridCol w:w="567"/>
        <w:gridCol w:w="561"/>
      </w:tblGrid>
      <w:tr w:rsidR="00B33387" w14:paraId="24BE865A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00A39EF9" w14:textId="77777777" w:rsidR="00B33387" w:rsidRPr="00B33387" w:rsidRDefault="00B33387" w:rsidP="00777E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708" w:type="dxa"/>
            <w:shd w:val="clear" w:color="auto" w:fill="D9D9D9" w:themeFill="background1" w:themeFillShade="D9"/>
          </w:tcPr>
          <w:p w14:paraId="20167387" w14:textId="77777777" w:rsidR="00B33387" w:rsidRPr="00B33387" w:rsidRDefault="00B33387" w:rsidP="00777EEC">
            <w:pPr>
              <w:jc w:val="both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Criteria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85AB6F2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292A08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3E5B5F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T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6444214D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P</w:t>
            </w:r>
          </w:p>
        </w:tc>
      </w:tr>
      <w:tr w:rsidR="00B33387" w14:paraId="3B1BB918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3C34FC71" w14:textId="77777777" w:rsidR="00B33387" w:rsidRDefault="00B3338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8" w:type="dxa"/>
            <w:shd w:val="clear" w:color="auto" w:fill="F2F2F2" w:themeFill="background1" w:themeFillShade="F2"/>
          </w:tcPr>
          <w:p w14:paraId="57C55B68" w14:textId="77777777" w:rsidR="00B33387" w:rsidRPr="00D16D08" w:rsidRDefault="00555A11" w:rsidP="00765316">
            <w:pPr>
              <w:rPr>
                <w:sz w:val="24"/>
                <w:szCs w:val="24"/>
              </w:rPr>
            </w:pPr>
            <w:r w:rsidRPr="00D16D08">
              <w:rPr>
                <w:sz w:val="24"/>
                <w:szCs w:val="24"/>
              </w:rPr>
              <w:t>A minimum of 1 years’ supervisory experience within a small to medium sized charity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509540" w14:textId="77777777" w:rsidR="00B33387" w:rsidRDefault="00B3338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337A8461" w14:textId="1371ECC4" w:rsidR="00B33387" w:rsidRDefault="00B33387" w:rsidP="00B3338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E3545B1" w14:textId="77777777" w:rsidR="00B33387" w:rsidRDefault="00B33387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CBF89F1" w14:textId="77777777" w:rsidR="00B33387" w:rsidRDefault="00B33387" w:rsidP="00B33387">
            <w:pPr>
              <w:jc w:val="center"/>
              <w:rPr>
                <w:sz w:val="24"/>
              </w:rPr>
            </w:pPr>
          </w:p>
        </w:tc>
      </w:tr>
      <w:tr w:rsidR="00D113A5" w14:paraId="11A7C512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31989FB1" w14:textId="77777777" w:rsidR="00D113A5" w:rsidRDefault="00D113A5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08" w:type="dxa"/>
            <w:shd w:val="clear" w:color="auto" w:fill="F2F2F2" w:themeFill="background1" w:themeFillShade="F2"/>
          </w:tcPr>
          <w:p w14:paraId="47331833" w14:textId="77777777" w:rsidR="00D113A5" w:rsidRPr="00D16D08" w:rsidRDefault="00D113A5" w:rsidP="00765316">
            <w:pPr>
              <w:rPr>
                <w:sz w:val="24"/>
                <w:szCs w:val="24"/>
              </w:rPr>
            </w:pPr>
            <w:r w:rsidRPr="00D16D08">
              <w:rPr>
                <w:rFonts w:ascii="Calibri" w:hAnsi="Calibri" w:cs="Calibri"/>
                <w:sz w:val="24"/>
                <w:szCs w:val="24"/>
              </w:rPr>
              <w:t>Thorough knowledge of voluntary and statutory</w:t>
            </w:r>
            <w:r w:rsidR="004F414D">
              <w:rPr>
                <w:rFonts w:ascii="Calibri" w:hAnsi="Calibri" w:cs="Calibri"/>
                <w:sz w:val="24"/>
                <w:szCs w:val="24"/>
              </w:rPr>
              <w:t xml:space="preserve"> sectors including</w:t>
            </w:r>
            <w:r w:rsidRPr="00D16D08">
              <w:rPr>
                <w:rFonts w:ascii="Calibri" w:hAnsi="Calibri" w:cs="Calibri"/>
                <w:sz w:val="24"/>
                <w:szCs w:val="24"/>
              </w:rPr>
              <w:t xml:space="preserve"> housing, health</w:t>
            </w:r>
            <w:r w:rsidR="00D16D08" w:rsidRPr="00D16D08">
              <w:rPr>
                <w:rFonts w:ascii="Calibri" w:hAnsi="Calibri" w:cs="Calibri"/>
                <w:sz w:val="24"/>
                <w:szCs w:val="24"/>
              </w:rPr>
              <w:t>, criminal justice</w:t>
            </w:r>
            <w:r w:rsidRPr="00D16D08">
              <w:rPr>
                <w:rFonts w:ascii="Calibri" w:hAnsi="Calibri" w:cs="Calibri"/>
                <w:sz w:val="24"/>
                <w:szCs w:val="24"/>
              </w:rPr>
              <w:t xml:space="preserve"> and social care sectors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E3440A3" w14:textId="77777777" w:rsidR="00D113A5" w:rsidRDefault="00D113A5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5A0541B" w14:textId="77777777" w:rsidR="00D113A5" w:rsidRDefault="00D113A5" w:rsidP="00B3338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2C74DB2" w14:textId="77777777" w:rsidR="00D113A5" w:rsidRDefault="00D113A5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2FCA737" w14:textId="77777777" w:rsidR="00D113A5" w:rsidRDefault="00D113A5" w:rsidP="00B33387">
            <w:pPr>
              <w:jc w:val="center"/>
              <w:rPr>
                <w:sz w:val="24"/>
              </w:rPr>
            </w:pPr>
          </w:p>
        </w:tc>
      </w:tr>
      <w:tr w:rsidR="0032725F" w14:paraId="729561E5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6C400014" w14:textId="77777777" w:rsidR="0032725F" w:rsidRDefault="006E722F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08" w:type="dxa"/>
            <w:shd w:val="clear" w:color="auto" w:fill="F2F2F2" w:themeFill="background1" w:themeFillShade="F2"/>
          </w:tcPr>
          <w:p w14:paraId="6E4FF679" w14:textId="77777777" w:rsidR="0032725F" w:rsidRPr="004F414D" w:rsidRDefault="0032725F" w:rsidP="00187707">
            <w:pPr>
              <w:rPr>
                <w:rFonts w:ascii="Calibri" w:hAnsi="Calibri" w:cs="Arial"/>
                <w:sz w:val="24"/>
                <w:szCs w:val="24"/>
              </w:rPr>
            </w:pPr>
            <w:r w:rsidRPr="00D16D08">
              <w:rPr>
                <w:rFonts w:ascii="Calibri" w:hAnsi="Calibri" w:cs="Arial"/>
                <w:sz w:val="24"/>
                <w:szCs w:val="24"/>
              </w:rPr>
              <w:t>An understanding of the principles of Housing advice work</w:t>
            </w:r>
            <w:r w:rsidR="004F414D" w:rsidRPr="00D16D0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F414D">
              <w:rPr>
                <w:rFonts w:ascii="Calibri" w:hAnsi="Calibri" w:cs="Calibri"/>
                <w:sz w:val="24"/>
                <w:szCs w:val="24"/>
              </w:rPr>
              <w:t>and kn</w:t>
            </w:r>
            <w:r w:rsidR="004F414D" w:rsidRPr="00D16D08">
              <w:rPr>
                <w:rFonts w:ascii="Calibri" w:hAnsi="Calibri" w:cs="Calibri"/>
                <w:sz w:val="24"/>
                <w:szCs w:val="24"/>
              </w:rPr>
              <w:t>owledge of Housi</w:t>
            </w:r>
            <w:r w:rsidR="00187707">
              <w:rPr>
                <w:rFonts w:ascii="Calibri" w:hAnsi="Calibri" w:cs="Calibri"/>
                <w:sz w:val="24"/>
                <w:szCs w:val="24"/>
              </w:rPr>
              <w:t>ng and Homelessness legislation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AF7FDD" w14:textId="77777777" w:rsidR="0032725F" w:rsidRDefault="0032725F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3C8F729" w14:textId="77777777" w:rsidR="0032725F" w:rsidRDefault="006E722F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FBEAA60" w14:textId="77777777" w:rsidR="0032725F" w:rsidRDefault="0032725F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09AED7C" w14:textId="77777777" w:rsidR="0032725F" w:rsidRDefault="0032725F" w:rsidP="00B33387">
            <w:pPr>
              <w:jc w:val="center"/>
              <w:rPr>
                <w:sz w:val="24"/>
              </w:rPr>
            </w:pPr>
          </w:p>
        </w:tc>
      </w:tr>
      <w:tr w:rsidR="00D113A5" w14:paraId="53B5F722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67D982B4" w14:textId="77777777" w:rsidR="00D113A5" w:rsidRDefault="006E722F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08" w:type="dxa"/>
            <w:shd w:val="clear" w:color="auto" w:fill="F2F2F2" w:themeFill="background1" w:themeFillShade="F2"/>
          </w:tcPr>
          <w:p w14:paraId="1E781E9E" w14:textId="77777777" w:rsidR="00D113A5" w:rsidRPr="00D16D08" w:rsidRDefault="00D113A5" w:rsidP="001D5777">
            <w:pPr>
              <w:rPr>
                <w:sz w:val="24"/>
                <w:szCs w:val="24"/>
              </w:rPr>
            </w:pPr>
            <w:r w:rsidRPr="00D16D08">
              <w:rPr>
                <w:rFonts w:ascii="Calibri" w:hAnsi="Calibri" w:cs="Calibri"/>
                <w:sz w:val="24"/>
                <w:szCs w:val="24"/>
              </w:rPr>
              <w:t>Good working knowledge of b</w:t>
            </w:r>
            <w:r w:rsidR="009B1B36" w:rsidRPr="00D16D08">
              <w:rPr>
                <w:rFonts w:ascii="Calibri" w:hAnsi="Calibri" w:cs="Calibri"/>
                <w:sz w:val="24"/>
                <w:szCs w:val="24"/>
              </w:rPr>
              <w:t xml:space="preserve">enefits, housing, </w:t>
            </w:r>
            <w:r w:rsidR="001D5777" w:rsidRPr="00D16D08">
              <w:rPr>
                <w:rFonts w:ascii="Calibri" w:hAnsi="Calibri" w:cs="Calibri"/>
                <w:sz w:val="24"/>
                <w:szCs w:val="24"/>
              </w:rPr>
              <w:t>homelessness, money</w:t>
            </w:r>
            <w:r w:rsidRPr="00D16D08">
              <w:rPr>
                <w:rFonts w:ascii="Calibri" w:hAnsi="Calibri" w:cs="Calibri"/>
                <w:sz w:val="24"/>
                <w:szCs w:val="24"/>
              </w:rPr>
              <w:t xml:space="preserve"> managem</w:t>
            </w:r>
            <w:r w:rsidR="009B1B36" w:rsidRPr="00D16D08">
              <w:rPr>
                <w:rFonts w:ascii="Calibri" w:hAnsi="Calibri" w:cs="Calibri"/>
                <w:sz w:val="24"/>
                <w:szCs w:val="24"/>
              </w:rPr>
              <w:t>ent</w:t>
            </w:r>
            <w:r w:rsidR="007A0488" w:rsidRPr="00D16D08">
              <w:rPr>
                <w:rFonts w:ascii="Calibri" w:hAnsi="Calibri" w:cs="Calibri"/>
                <w:sz w:val="24"/>
                <w:szCs w:val="24"/>
              </w:rPr>
              <w:t xml:space="preserve"> and safeguarding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3B441B" w14:textId="77777777" w:rsidR="00D113A5" w:rsidRDefault="00D113A5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9B075D5" w14:textId="2EABE4B6" w:rsidR="00D113A5" w:rsidRDefault="00A6190C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1A544CB" w14:textId="77777777" w:rsidR="00D113A5" w:rsidRDefault="00D113A5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C4D11F0" w14:textId="77777777" w:rsidR="00D113A5" w:rsidRDefault="00D113A5" w:rsidP="00B33387">
            <w:pPr>
              <w:jc w:val="center"/>
              <w:rPr>
                <w:sz w:val="24"/>
              </w:rPr>
            </w:pPr>
          </w:p>
        </w:tc>
      </w:tr>
      <w:tr w:rsidR="00187707" w14:paraId="0A200822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06D6B01E" w14:textId="77777777" w:rsidR="00187707" w:rsidRDefault="0018770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8" w:type="dxa"/>
            <w:shd w:val="clear" w:color="auto" w:fill="F2F2F2" w:themeFill="background1" w:themeFillShade="F2"/>
          </w:tcPr>
          <w:p w14:paraId="752F1D6D" w14:textId="53C3E717" w:rsidR="00187707" w:rsidRPr="00D16D08" w:rsidRDefault="00187707" w:rsidP="003C5D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Awareness of the current issues for homeless people and offend</w:t>
            </w:r>
            <w:r w:rsidR="003C5D4C">
              <w:rPr>
                <w:rFonts w:ascii="Calibri" w:hAnsi="Calibri" w:cs="Calibri"/>
                <w:sz w:val="24"/>
                <w:szCs w:val="24"/>
              </w:rPr>
              <w:t xml:space="preserve">ers and how this may impact their access to services and/or accommodation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88D715" w14:textId="77777777" w:rsidR="00187707" w:rsidRDefault="0018770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3BB01D77" w14:textId="77777777" w:rsidR="00187707" w:rsidRDefault="003C5D4C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E673A17" w14:textId="77777777" w:rsidR="00187707" w:rsidRDefault="00187707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92C78B9" w14:textId="77777777" w:rsidR="00187707" w:rsidRDefault="00187707" w:rsidP="00B33387">
            <w:pPr>
              <w:jc w:val="center"/>
              <w:rPr>
                <w:sz w:val="24"/>
              </w:rPr>
            </w:pPr>
          </w:p>
        </w:tc>
      </w:tr>
      <w:tr w:rsidR="00D113A5" w14:paraId="02A9A930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09E4B94D" w14:textId="77777777" w:rsidR="00D113A5" w:rsidRDefault="0018770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8" w:type="dxa"/>
            <w:shd w:val="clear" w:color="auto" w:fill="F2F2F2" w:themeFill="background1" w:themeFillShade="F2"/>
          </w:tcPr>
          <w:p w14:paraId="26A57440" w14:textId="77777777" w:rsidR="00960C2C" w:rsidRPr="00D16D08" w:rsidRDefault="00D113A5" w:rsidP="00765316">
            <w:pPr>
              <w:rPr>
                <w:rFonts w:ascii="Calibri" w:hAnsi="Calibri" w:cs="Calibri"/>
                <w:sz w:val="24"/>
                <w:szCs w:val="24"/>
              </w:rPr>
            </w:pPr>
            <w:r w:rsidRPr="00D16D08">
              <w:rPr>
                <w:rFonts w:ascii="Calibri" w:hAnsi="Calibri" w:cs="Calibri"/>
                <w:sz w:val="24"/>
                <w:szCs w:val="24"/>
              </w:rPr>
              <w:t>A high level of written and verbal communication skills</w:t>
            </w:r>
          </w:p>
          <w:p w14:paraId="34697459" w14:textId="77777777" w:rsidR="000B6D8F" w:rsidRPr="00D16D08" w:rsidRDefault="000B6D8F" w:rsidP="0076531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CA13D8B" w14:textId="77777777" w:rsidR="00D113A5" w:rsidRDefault="00D113A5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0C2D4B6" w14:textId="77777777" w:rsidR="00D113A5" w:rsidRDefault="00D113A5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D673471" w14:textId="77777777" w:rsidR="00D113A5" w:rsidRDefault="00D113A5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B53A339" w14:textId="77777777" w:rsidR="00D113A5" w:rsidRDefault="00D113A5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33387" w14:paraId="30A95015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41CC4412" w14:textId="77777777" w:rsidR="00B33387" w:rsidRDefault="0018770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8" w:type="dxa"/>
            <w:shd w:val="clear" w:color="auto" w:fill="F2F2F2" w:themeFill="background1" w:themeFillShade="F2"/>
          </w:tcPr>
          <w:p w14:paraId="545C31C5" w14:textId="77777777" w:rsidR="00765316" w:rsidRPr="00D16D08" w:rsidRDefault="000B6D8F" w:rsidP="00765316">
            <w:pPr>
              <w:rPr>
                <w:sz w:val="24"/>
                <w:szCs w:val="24"/>
              </w:rPr>
            </w:pPr>
            <w:r w:rsidRPr="00D16D08">
              <w:rPr>
                <w:sz w:val="24"/>
                <w:szCs w:val="24"/>
              </w:rPr>
              <w:t>Ability to develop and motivate</w:t>
            </w:r>
            <w:r w:rsidR="00765316" w:rsidRPr="00D16D08">
              <w:rPr>
                <w:sz w:val="24"/>
                <w:szCs w:val="24"/>
              </w:rPr>
              <w:t xml:space="preserve"> a high performing workforce</w:t>
            </w:r>
          </w:p>
          <w:p w14:paraId="6FEE2B21" w14:textId="77777777" w:rsidR="00B33387" w:rsidRPr="00D16D08" w:rsidRDefault="00B33387" w:rsidP="00777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EF985A7" w14:textId="77777777" w:rsidR="00B33387" w:rsidRDefault="000B6D8F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5892A76" w14:textId="77777777" w:rsidR="00B33387" w:rsidRDefault="00765316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A2EE60E" w14:textId="77777777" w:rsidR="00B33387" w:rsidRDefault="00B33387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43C8439" w14:textId="77777777" w:rsidR="00B33387" w:rsidRDefault="000B6D8F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33387" w14:paraId="66EC2551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6A71F325" w14:textId="77777777" w:rsidR="00B33387" w:rsidRDefault="0018770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8" w:type="dxa"/>
            <w:shd w:val="clear" w:color="auto" w:fill="F2F2F2" w:themeFill="background1" w:themeFillShade="F2"/>
          </w:tcPr>
          <w:p w14:paraId="3089B127" w14:textId="77777777" w:rsidR="00B33387" w:rsidRDefault="004F414D" w:rsidP="00777EEC">
            <w:pPr>
              <w:jc w:val="both"/>
              <w:rPr>
                <w:sz w:val="24"/>
                <w:szCs w:val="24"/>
              </w:rPr>
            </w:pPr>
            <w:r w:rsidRPr="00D16D08">
              <w:rPr>
                <w:sz w:val="24"/>
                <w:szCs w:val="24"/>
              </w:rPr>
              <w:t>Significant proven experience of safeguarding processes and issues</w:t>
            </w:r>
          </w:p>
          <w:p w14:paraId="2D5DEF6C" w14:textId="77777777" w:rsidR="004F414D" w:rsidRPr="00D16D08" w:rsidRDefault="004F414D" w:rsidP="00777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B6DC4D" w14:textId="77777777" w:rsidR="00B33387" w:rsidRDefault="000B6D8F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D2E3631" w14:textId="77777777" w:rsidR="00B33387" w:rsidRDefault="00D113A5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0E19C77" w14:textId="77777777" w:rsidR="00B33387" w:rsidRDefault="00B33387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A3C5095" w14:textId="77777777" w:rsidR="00B33387" w:rsidRDefault="00B33387" w:rsidP="00B33387">
            <w:pPr>
              <w:jc w:val="center"/>
              <w:rPr>
                <w:sz w:val="24"/>
              </w:rPr>
            </w:pPr>
          </w:p>
        </w:tc>
      </w:tr>
      <w:tr w:rsidR="007A0488" w14:paraId="7495F6E3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40BBA9E8" w14:textId="28C28803" w:rsidR="007A0488" w:rsidRDefault="009438DC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08" w:type="dxa"/>
            <w:shd w:val="clear" w:color="auto" w:fill="F2F2F2" w:themeFill="background1" w:themeFillShade="F2"/>
          </w:tcPr>
          <w:p w14:paraId="7A720E82" w14:textId="77777777" w:rsidR="007A0488" w:rsidRPr="00D16D08" w:rsidRDefault="007A0488" w:rsidP="007A0488">
            <w:pPr>
              <w:rPr>
                <w:sz w:val="24"/>
                <w:szCs w:val="24"/>
              </w:rPr>
            </w:pPr>
            <w:r w:rsidRPr="00D16D08">
              <w:rPr>
                <w:rFonts w:ascii="Calibri" w:hAnsi="Calibri" w:cs="Calibri"/>
                <w:sz w:val="24"/>
                <w:szCs w:val="24"/>
              </w:rPr>
              <w:t>The ability to communicate, negotiate and influence appropriately with a range of internal and external stakeholders</w:t>
            </w:r>
            <w:r w:rsidR="004F414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E722F">
              <w:rPr>
                <w:rFonts w:ascii="Calibri" w:hAnsi="Calibri" w:cs="Calibri"/>
                <w:sz w:val="24"/>
                <w:szCs w:val="24"/>
              </w:rPr>
              <w:t>f</w:t>
            </w:r>
            <w:bookmarkStart w:id="0" w:name="_GoBack"/>
            <w:bookmarkEnd w:id="0"/>
            <w:r w:rsidR="006E722F">
              <w:rPr>
                <w:rFonts w:ascii="Calibri" w:hAnsi="Calibri" w:cs="Calibri"/>
                <w:sz w:val="24"/>
                <w:szCs w:val="24"/>
              </w:rPr>
              <w:t xml:space="preserve">or the benefit of clients and </w:t>
            </w:r>
            <w:r w:rsidR="004F414D" w:rsidRPr="00D16D08">
              <w:rPr>
                <w:rFonts w:ascii="Calibri" w:hAnsi="Calibri" w:cs="Calibri"/>
                <w:sz w:val="24"/>
                <w:szCs w:val="24"/>
              </w:rPr>
              <w:t>to develop partnerships/networks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A37A48" w14:textId="77777777" w:rsidR="007A0488" w:rsidRDefault="007A0488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E96C2BF" w14:textId="77777777" w:rsidR="007A0488" w:rsidRDefault="007A0488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8B9E1C4" w14:textId="77777777" w:rsidR="007A0488" w:rsidRDefault="007A0488" w:rsidP="007A0488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E1707E1" w14:textId="77777777" w:rsidR="007A0488" w:rsidRDefault="006E722F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A0488" w14:paraId="07ABB023" w14:textId="77777777" w:rsidTr="00F5157A">
        <w:tc>
          <w:tcPr>
            <w:tcW w:w="658" w:type="dxa"/>
            <w:shd w:val="clear" w:color="auto" w:fill="D9D9D9" w:themeFill="background1" w:themeFillShade="D9"/>
          </w:tcPr>
          <w:p w14:paraId="382D4C7D" w14:textId="473DA637" w:rsidR="007A0488" w:rsidRDefault="009438DC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08" w:type="dxa"/>
            <w:shd w:val="clear" w:color="auto" w:fill="F2F2F2" w:themeFill="background1" w:themeFillShade="F2"/>
          </w:tcPr>
          <w:p w14:paraId="3CDC3226" w14:textId="77777777" w:rsidR="007A0488" w:rsidRPr="00765316" w:rsidRDefault="007A0488" w:rsidP="007A0488">
            <w:pPr>
              <w:pStyle w:val="t1"/>
              <w:tabs>
                <w:tab w:val="left" w:pos="759"/>
                <w:tab w:val="left" w:pos="1474"/>
              </w:tabs>
              <w:spacing w:line="249" w:lineRule="exact"/>
              <w:rPr>
                <w:rFonts w:ascii="Calibri" w:hAnsi="Calibri" w:cs="Calibri"/>
                <w:b/>
              </w:rPr>
            </w:pPr>
            <w:r w:rsidRPr="00643FC5">
              <w:rPr>
                <w:rFonts w:ascii="Calibri" w:hAnsi="Calibri" w:cs="Calibri"/>
              </w:rPr>
              <w:t xml:space="preserve">The ability to work on your own initiative and manage multiple tasks within a pressured environment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7CB45E" w14:textId="47C690D0" w:rsidR="007A0488" w:rsidRDefault="00F5157A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9206ED0" w14:textId="77777777" w:rsidR="007A0488" w:rsidRDefault="007A0488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C47F448" w14:textId="77777777" w:rsidR="007A0488" w:rsidRDefault="007A0488" w:rsidP="007A0488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F735C5F" w14:textId="77777777" w:rsidR="007A0488" w:rsidRDefault="007A0488" w:rsidP="007A0488">
            <w:pPr>
              <w:jc w:val="center"/>
              <w:rPr>
                <w:sz w:val="24"/>
              </w:rPr>
            </w:pPr>
          </w:p>
        </w:tc>
      </w:tr>
      <w:tr w:rsidR="007A0488" w14:paraId="1BCEDD1E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6090D97F" w14:textId="419CBD46" w:rsidR="007A0488" w:rsidRDefault="009438DC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708" w:type="dxa"/>
          </w:tcPr>
          <w:p w14:paraId="2FF4D27A" w14:textId="77777777" w:rsidR="007A0488" w:rsidRPr="00765316" w:rsidRDefault="007A0488" w:rsidP="007A0488">
            <w:pPr>
              <w:jc w:val="both"/>
              <w:rPr>
                <w:sz w:val="24"/>
                <w:szCs w:val="24"/>
              </w:rPr>
            </w:pPr>
            <w:r w:rsidRPr="00765316">
              <w:rPr>
                <w:rFonts w:ascii="Calibri" w:hAnsi="Calibri" w:cs="Calibri"/>
                <w:sz w:val="24"/>
                <w:szCs w:val="24"/>
              </w:rPr>
              <w:t>The ability to evaluate case records or</w:t>
            </w:r>
            <w:r w:rsidR="004F414D">
              <w:rPr>
                <w:rFonts w:ascii="Calibri" w:hAnsi="Calibri" w:cs="Calibri"/>
                <w:sz w:val="24"/>
                <w:szCs w:val="24"/>
              </w:rPr>
              <w:t xml:space="preserve"> observe case work and communicate</w:t>
            </w:r>
            <w:r w:rsidRPr="00765316">
              <w:rPr>
                <w:rFonts w:ascii="Calibri" w:hAnsi="Calibri" w:cs="Calibri"/>
                <w:sz w:val="24"/>
                <w:szCs w:val="24"/>
              </w:rPr>
              <w:t xml:space="preserve"> clear guidelines and gaps in knowledge</w:t>
            </w:r>
          </w:p>
        </w:tc>
        <w:tc>
          <w:tcPr>
            <w:tcW w:w="567" w:type="dxa"/>
          </w:tcPr>
          <w:p w14:paraId="5E3B5707" w14:textId="77777777" w:rsidR="007A0488" w:rsidRDefault="007A0488" w:rsidP="007A048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586970A" w14:textId="77777777" w:rsidR="007A0488" w:rsidRDefault="007A0488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375D18E6" w14:textId="77777777" w:rsidR="007A0488" w:rsidRDefault="007A0488" w:rsidP="007A0488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9910739" w14:textId="77777777" w:rsidR="007A0488" w:rsidRDefault="007A0488" w:rsidP="007A0488">
            <w:pPr>
              <w:jc w:val="center"/>
              <w:rPr>
                <w:sz w:val="24"/>
              </w:rPr>
            </w:pPr>
          </w:p>
        </w:tc>
      </w:tr>
      <w:tr w:rsidR="007A0488" w14:paraId="66954A29" w14:textId="77777777" w:rsidTr="002840E2">
        <w:tc>
          <w:tcPr>
            <w:tcW w:w="658" w:type="dxa"/>
            <w:shd w:val="clear" w:color="auto" w:fill="D9D9D9" w:themeFill="background1" w:themeFillShade="D9"/>
          </w:tcPr>
          <w:p w14:paraId="64F667F1" w14:textId="5653AFFA" w:rsidR="007A0488" w:rsidRDefault="009438DC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08" w:type="dxa"/>
          </w:tcPr>
          <w:p w14:paraId="5BFE74E5" w14:textId="77777777" w:rsidR="007A0488" w:rsidRDefault="007A0488" w:rsidP="007A04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5316">
              <w:rPr>
                <w:rFonts w:ascii="Calibri" w:hAnsi="Calibri" w:cs="Calibri"/>
                <w:sz w:val="24"/>
                <w:szCs w:val="24"/>
              </w:rPr>
              <w:t xml:space="preserve">The ability to deputise for the </w:t>
            </w:r>
            <w:r>
              <w:rPr>
                <w:rFonts w:ascii="Calibri" w:hAnsi="Calibri" w:cs="Calibri"/>
                <w:sz w:val="24"/>
                <w:szCs w:val="24"/>
              </w:rPr>
              <w:t>Advice Services Team Manager</w:t>
            </w:r>
            <w:r w:rsidRPr="0076531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BD7680E" w14:textId="77777777" w:rsidR="007A0488" w:rsidRPr="00765316" w:rsidRDefault="007A0488" w:rsidP="007A04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BFCC63" w14:textId="77777777" w:rsidR="007A0488" w:rsidRDefault="007A0488" w:rsidP="007A048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610A9A3" w14:textId="77777777" w:rsidR="007A0488" w:rsidRDefault="007A0488" w:rsidP="007A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848AA7B" w14:textId="77777777" w:rsidR="007A0488" w:rsidRDefault="007A0488" w:rsidP="007A0488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6C10978" w14:textId="77777777" w:rsidR="007A0488" w:rsidRDefault="007A0488" w:rsidP="007A0488">
            <w:pPr>
              <w:jc w:val="center"/>
              <w:rPr>
                <w:sz w:val="24"/>
              </w:rPr>
            </w:pPr>
          </w:p>
        </w:tc>
      </w:tr>
    </w:tbl>
    <w:p w14:paraId="084AF39F" w14:textId="77777777" w:rsidR="0078464A" w:rsidRDefault="0078464A" w:rsidP="00777EEC">
      <w:pPr>
        <w:spacing w:after="0"/>
        <w:jc w:val="both"/>
        <w:rPr>
          <w:sz w:val="24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1554"/>
        <w:gridCol w:w="851"/>
        <w:gridCol w:w="2406"/>
        <w:gridCol w:w="2410"/>
        <w:gridCol w:w="992"/>
        <w:gridCol w:w="1415"/>
      </w:tblGrid>
      <w:tr w:rsidR="00712BF2" w14:paraId="061E08EF" w14:textId="77777777" w:rsidTr="00712BF2">
        <w:tc>
          <w:tcPr>
            <w:tcW w:w="9628" w:type="dxa"/>
            <w:gridSpan w:val="6"/>
            <w:shd w:val="clear" w:color="auto" w:fill="BFBFBF" w:themeFill="background1" w:themeFillShade="BF"/>
          </w:tcPr>
          <w:p w14:paraId="3E70BD61" w14:textId="77777777" w:rsidR="00712BF2" w:rsidRPr="00F86730" w:rsidRDefault="00712BF2" w:rsidP="00712BF2">
            <w:pPr>
              <w:jc w:val="both"/>
              <w:rPr>
                <w:b/>
                <w:sz w:val="28"/>
              </w:rPr>
            </w:pPr>
            <w:r w:rsidRPr="00F86730">
              <w:rPr>
                <w:b/>
                <w:sz w:val="28"/>
              </w:rPr>
              <w:t>Document Control</w:t>
            </w:r>
          </w:p>
        </w:tc>
      </w:tr>
      <w:tr w:rsidR="00712BF2" w14:paraId="00DCD974" w14:textId="77777777" w:rsidTr="00712BF2">
        <w:tc>
          <w:tcPr>
            <w:tcW w:w="1554" w:type="dxa"/>
          </w:tcPr>
          <w:p w14:paraId="4949725E" w14:textId="77777777" w:rsidR="00712BF2" w:rsidRPr="00F86730" w:rsidRDefault="00712BF2" w:rsidP="00712BF2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Prepared by</w:t>
            </w:r>
          </w:p>
        </w:tc>
        <w:tc>
          <w:tcPr>
            <w:tcW w:w="5667" w:type="dxa"/>
            <w:gridSpan w:val="3"/>
          </w:tcPr>
          <w:p w14:paraId="21B56D2C" w14:textId="77777777" w:rsidR="00712BF2" w:rsidRDefault="00712BF2" w:rsidP="00712BF2">
            <w:pPr>
              <w:jc w:val="both"/>
              <w:rPr>
                <w:sz w:val="24"/>
              </w:rPr>
            </w:pPr>
            <w:r>
              <w:rPr>
                <w:sz w:val="24"/>
              </w:rPr>
              <w:t>Molly Boggis</w:t>
            </w:r>
          </w:p>
        </w:tc>
        <w:tc>
          <w:tcPr>
            <w:tcW w:w="992" w:type="dxa"/>
          </w:tcPr>
          <w:p w14:paraId="4829EF79" w14:textId="77777777" w:rsidR="00712BF2" w:rsidRPr="00F86730" w:rsidRDefault="00712BF2" w:rsidP="00712BF2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Date</w:t>
            </w:r>
          </w:p>
        </w:tc>
        <w:tc>
          <w:tcPr>
            <w:tcW w:w="1415" w:type="dxa"/>
          </w:tcPr>
          <w:p w14:paraId="0BD4E188" w14:textId="77777777" w:rsidR="00712BF2" w:rsidRDefault="004F414D" w:rsidP="00712BF2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="00712BF2">
              <w:rPr>
                <w:sz w:val="24"/>
              </w:rPr>
              <w:t>/03/2019</w:t>
            </w:r>
          </w:p>
        </w:tc>
      </w:tr>
      <w:tr w:rsidR="00712BF2" w14:paraId="0D191EF7" w14:textId="77777777" w:rsidTr="00712BF2">
        <w:tc>
          <w:tcPr>
            <w:tcW w:w="2405" w:type="dxa"/>
            <w:gridSpan w:val="2"/>
          </w:tcPr>
          <w:p w14:paraId="338EEFB6" w14:textId="77777777" w:rsidR="00712BF2" w:rsidRPr="00F86730" w:rsidRDefault="00712BF2" w:rsidP="00712BF2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QMS Document No.</w:t>
            </w:r>
          </w:p>
        </w:tc>
        <w:tc>
          <w:tcPr>
            <w:tcW w:w="2406" w:type="dxa"/>
          </w:tcPr>
          <w:p w14:paraId="0D8EF848" w14:textId="77777777" w:rsidR="00712BF2" w:rsidRDefault="004F414D" w:rsidP="00712BF2">
            <w:pPr>
              <w:jc w:val="both"/>
              <w:rPr>
                <w:sz w:val="24"/>
              </w:rPr>
            </w:pPr>
            <w:r>
              <w:rPr>
                <w:sz w:val="24"/>
              </w:rPr>
              <w:t>HSS-HR-038</w:t>
            </w:r>
          </w:p>
        </w:tc>
        <w:tc>
          <w:tcPr>
            <w:tcW w:w="2410" w:type="dxa"/>
          </w:tcPr>
          <w:p w14:paraId="40D794FF" w14:textId="77777777" w:rsidR="00712BF2" w:rsidRPr="00F86730" w:rsidRDefault="00712BF2" w:rsidP="00712BF2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Version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7" w:type="dxa"/>
            <w:gridSpan w:val="2"/>
          </w:tcPr>
          <w:p w14:paraId="297BCAA0" w14:textId="77777777" w:rsidR="00712BF2" w:rsidRDefault="00712BF2" w:rsidP="00712BF2">
            <w:pPr>
              <w:jc w:val="both"/>
              <w:rPr>
                <w:sz w:val="24"/>
              </w:rPr>
            </w:pPr>
            <w:r>
              <w:rPr>
                <w:sz w:val="24"/>
              </w:rPr>
              <w:t>V1.0</w:t>
            </w:r>
          </w:p>
        </w:tc>
      </w:tr>
    </w:tbl>
    <w:p w14:paraId="17C59E1C" w14:textId="77777777" w:rsidR="00C5284C" w:rsidRPr="00801E5C" w:rsidRDefault="00C5284C" w:rsidP="00777EEC">
      <w:pPr>
        <w:spacing w:after="0"/>
        <w:jc w:val="both"/>
        <w:rPr>
          <w:sz w:val="24"/>
        </w:rPr>
      </w:pPr>
    </w:p>
    <w:sectPr w:rsidR="00C5284C" w:rsidRPr="00801E5C" w:rsidSect="00801E5C"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F9DE1" w14:textId="77777777" w:rsidR="002E7AAA" w:rsidRDefault="002E7AAA" w:rsidP="00801E5C">
      <w:pPr>
        <w:spacing w:after="0" w:line="240" w:lineRule="auto"/>
      </w:pPr>
      <w:r>
        <w:separator/>
      </w:r>
    </w:p>
  </w:endnote>
  <w:endnote w:type="continuationSeparator" w:id="0">
    <w:p w14:paraId="222FF680" w14:textId="77777777" w:rsidR="002E7AAA" w:rsidRDefault="002E7AAA" w:rsidP="0080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0F2F6" w14:textId="77777777" w:rsidR="002E7AAA" w:rsidRDefault="002E7AAA" w:rsidP="00801E5C">
      <w:pPr>
        <w:spacing w:after="0" w:line="240" w:lineRule="auto"/>
      </w:pPr>
      <w:r>
        <w:separator/>
      </w:r>
    </w:p>
  </w:footnote>
  <w:footnote w:type="continuationSeparator" w:id="0">
    <w:p w14:paraId="51BF876D" w14:textId="77777777" w:rsidR="002E7AAA" w:rsidRDefault="002E7AAA" w:rsidP="0080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8FDF2" w14:textId="77777777" w:rsidR="00801E5C" w:rsidRDefault="00801E5C" w:rsidP="005A2D8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A7B0F6B" wp14:editId="4E0B4753">
          <wp:extent cx="2118442" cy="984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Bridge Logo_TM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7" cy="99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E91"/>
    <w:multiLevelType w:val="hybridMultilevel"/>
    <w:tmpl w:val="BCC2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858"/>
    <w:multiLevelType w:val="hybridMultilevel"/>
    <w:tmpl w:val="E946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624C"/>
    <w:multiLevelType w:val="hybridMultilevel"/>
    <w:tmpl w:val="608A0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A72"/>
    <w:multiLevelType w:val="hybridMultilevel"/>
    <w:tmpl w:val="5D64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F49"/>
    <w:multiLevelType w:val="hybridMultilevel"/>
    <w:tmpl w:val="8C92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2C8E"/>
    <w:multiLevelType w:val="hybridMultilevel"/>
    <w:tmpl w:val="2EF6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73E4"/>
    <w:multiLevelType w:val="hybridMultilevel"/>
    <w:tmpl w:val="8B98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B9E"/>
    <w:multiLevelType w:val="hybridMultilevel"/>
    <w:tmpl w:val="7C76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40F40"/>
    <w:multiLevelType w:val="hybridMultilevel"/>
    <w:tmpl w:val="9696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F6DE3"/>
    <w:multiLevelType w:val="hybridMultilevel"/>
    <w:tmpl w:val="E054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C0DB1"/>
    <w:multiLevelType w:val="hybridMultilevel"/>
    <w:tmpl w:val="F4E0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1CAC"/>
    <w:multiLevelType w:val="hybridMultilevel"/>
    <w:tmpl w:val="5E52D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C0"/>
    <w:rsid w:val="00003233"/>
    <w:rsid w:val="00012D34"/>
    <w:rsid w:val="00080F16"/>
    <w:rsid w:val="000B6D8F"/>
    <w:rsid w:val="000E1756"/>
    <w:rsid w:val="00187707"/>
    <w:rsid w:val="001C182B"/>
    <w:rsid w:val="001D49A0"/>
    <w:rsid w:val="001D5777"/>
    <w:rsid w:val="001E1A8D"/>
    <w:rsid w:val="001E2E53"/>
    <w:rsid w:val="00241BD2"/>
    <w:rsid w:val="00250927"/>
    <w:rsid w:val="002840E2"/>
    <w:rsid w:val="002B490C"/>
    <w:rsid w:val="002B4A63"/>
    <w:rsid w:val="002E6534"/>
    <w:rsid w:val="002E7AAA"/>
    <w:rsid w:val="0030523D"/>
    <w:rsid w:val="0032725F"/>
    <w:rsid w:val="00354837"/>
    <w:rsid w:val="003A1522"/>
    <w:rsid w:val="003C567C"/>
    <w:rsid w:val="003C5D4C"/>
    <w:rsid w:val="003C66F4"/>
    <w:rsid w:val="003F5107"/>
    <w:rsid w:val="0042035F"/>
    <w:rsid w:val="0046573F"/>
    <w:rsid w:val="00475861"/>
    <w:rsid w:val="004A5EAC"/>
    <w:rsid w:val="004F35D5"/>
    <w:rsid w:val="004F414D"/>
    <w:rsid w:val="005073FE"/>
    <w:rsid w:val="005344B8"/>
    <w:rsid w:val="005512E9"/>
    <w:rsid w:val="00555A11"/>
    <w:rsid w:val="00572372"/>
    <w:rsid w:val="005A2D8A"/>
    <w:rsid w:val="005B7FF4"/>
    <w:rsid w:val="0060116A"/>
    <w:rsid w:val="006425FE"/>
    <w:rsid w:val="00653013"/>
    <w:rsid w:val="006B312C"/>
    <w:rsid w:val="006E722F"/>
    <w:rsid w:val="00712BF2"/>
    <w:rsid w:val="00765316"/>
    <w:rsid w:val="00771CAB"/>
    <w:rsid w:val="00777EEC"/>
    <w:rsid w:val="00781514"/>
    <w:rsid w:val="0078464A"/>
    <w:rsid w:val="007A0488"/>
    <w:rsid w:val="007E750D"/>
    <w:rsid w:val="00800817"/>
    <w:rsid w:val="00801E5C"/>
    <w:rsid w:val="00836365"/>
    <w:rsid w:val="00845FB7"/>
    <w:rsid w:val="008930F1"/>
    <w:rsid w:val="008A06CA"/>
    <w:rsid w:val="008B3509"/>
    <w:rsid w:val="009438DC"/>
    <w:rsid w:val="009570BA"/>
    <w:rsid w:val="00960C2C"/>
    <w:rsid w:val="00970031"/>
    <w:rsid w:val="00971D06"/>
    <w:rsid w:val="009B1B36"/>
    <w:rsid w:val="009E27BB"/>
    <w:rsid w:val="00A159B2"/>
    <w:rsid w:val="00A40ADA"/>
    <w:rsid w:val="00A6190C"/>
    <w:rsid w:val="00A72E24"/>
    <w:rsid w:val="00AB4983"/>
    <w:rsid w:val="00AD7B2C"/>
    <w:rsid w:val="00AE7E1E"/>
    <w:rsid w:val="00AF6695"/>
    <w:rsid w:val="00B17836"/>
    <w:rsid w:val="00B33387"/>
    <w:rsid w:val="00B54F41"/>
    <w:rsid w:val="00BA50EF"/>
    <w:rsid w:val="00BF5D62"/>
    <w:rsid w:val="00C015A0"/>
    <w:rsid w:val="00C25334"/>
    <w:rsid w:val="00C5284C"/>
    <w:rsid w:val="00C57AD9"/>
    <w:rsid w:val="00CE3830"/>
    <w:rsid w:val="00D113A5"/>
    <w:rsid w:val="00D11F21"/>
    <w:rsid w:val="00D128DF"/>
    <w:rsid w:val="00D16D08"/>
    <w:rsid w:val="00D3656C"/>
    <w:rsid w:val="00E715F9"/>
    <w:rsid w:val="00E87815"/>
    <w:rsid w:val="00ED6177"/>
    <w:rsid w:val="00EF33A3"/>
    <w:rsid w:val="00F173C0"/>
    <w:rsid w:val="00F5157A"/>
    <w:rsid w:val="00F86730"/>
    <w:rsid w:val="00F9577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CCBC4"/>
  <w15:chartTrackingRefBased/>
  <w15:docId w15:val="{B2F726F3-5135-46FF-9589-7EAD809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5C"/>
  </w:style>
  <w:style w:type="paragraph" w:styleId="Footer">
    <w:name w:val="footer"/>
    <w:basedOn w:val="Normal"/>
    <w:link w:val="Foot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5C"/>
  </w:style>
  <w:style w:type="table" w:styleId="TableGrid">
    <w:name w:val="Table Grid"/>
    <w:basedOn w:val="TableNormal"/>
    <w:uiPriority w:val="39"/>
    <w:rsid w:val="0080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EEC"/>
    <w:pPr>
      <w:ind w:left="720"/>
      <w:contextualSpacing/>
    </w:pPr>
  </w:style>
  <w:style w:type="paragraph" w:customStyle="1" w:styleId="p5">
    <w:name w:val="p5"/>
    <w:basedOn w:val="Normal"/>
    <w:rsid w:val="000E1756"/>
    <w:pPr>
      <w:widowControl w:val="0"/>
      <w:tabs>
        <w:tab w:val="left" w:pos="725"/>
      </w:tabs>
      <w:autoSpaceDE w:val="0"/>
      <w:autoSpaceDN w:val="0"/>
      <w:adjustRightInd w:val="0"/>
      <w:spacing w:after="0" w:line="240" w:lineRule="atLeast"/>
      <w:ind w:left="715" w:hanging="725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5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B2"/>
    <w:rPr>
      <w:rFonts w:ascii="Segoe UI" w:hAnsi="Segoe UI" w:cs="Segoe UI"/>
      <w:sz w:val="18"/>
      <w:szCs w:val="18"/>
    </w:rPr>
  </w:style>
  <w:style w:type="paragraph" w:customStyle="1" w:styleId="p7">
    <w:name w:val="p7"/>
    <w:basedOn w:val="Normal"/>
    <w:rsid w:val="00555A11"/>
    <w:pPr>
      <w:widowControl w:val="0"/>
      <w:tabs>
        <w:tab w:val="left" w:pos="748"/>
        <w:tab w:val="left" w:pos="1462"/>
      </w:tabs>
      <w:autoSpaceDE w:val="0"/>
      <w:autoSpaceDN w:val="0"/>
      <w:adjustRightInd w:val="0"/>
      <w:spacing w:after="0" w:line="249" w:lineRule="atLeast"/>
      <w:ind w:left="1462" w:hanging="714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t1">
    <w:name w:val="t1"/>
    <w:basedOn w:val="Normal"/>
    <w:rsid w:val="00765316"/>
    <w:pPr>
      <w:widowControl w:val="0"/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74B4680660545BEF0F72819BBF548" ma:contentTypeVersion="10" ma:contentTypeDescription="Create a new document." ma:contentTypeScope="" ma:versionID="8cf48235627d51fe2472d6fa64ec98da">
  <xsd:schema xmlns:xsd="http://www.w3.org/2001/XMLSchema" xmlns:xs="http://www.w3.org/2001/XMLSchema" xmlns:p="http://schemas.microsoft.com/office/2006/metadata/properties" xmlns:ns2="8be8e954-a1db-433d-94e2-105db6c6d966" xmlns:ns3="6a613239-d17a-4dd0-877c-4d8cae69b065" targetNamespace="http://schemas.microsoft.com/office/2006/metadata/properties" ma:root="true" ma:fieldsID="44e9db65fe39f8ed1abdefd983e7eace" ns2:_="" ns3:_="">
    <xsd:import namespace="8be8e954-a1db-433d-94e2-105db6c6d966"/>
    <xsd:import namespace="6a613239-d17a-4dd0-877c-4d8cae69b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e954-a1db-433d-94e2-105db6c6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239-d17a-4dd0-877c-4d8cae69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D34C-6FC0-40E2-B7ED-2F12E7E02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1EC4B-75BA-4DEF-9E58-21C2C1DB3FC7}">
  <ds:schemaRefs>
    <ds:schemaRef ds:uri="http://schemas.microsoft.com/office/2006/metadata/properties"/>
    <ds:schemaRef ds:uri="http://purl.org/dc/terms/"/>
    <ds:schemaRef ds:uri="6a613239-d17a-4dd0-877c-4d8cae69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be8e954-a1db-433d-94e2-105db6c6d9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14216-52C2-404E-88D8-9411635D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8e954-a1db-433d-94e2-105db6c6d966"/>
    <ds:schemaRef ds:uri="6a613239-d17a-4dd0-877c-4d8cae69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A0013-46CF-446E-BB69-65D401C0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Snape</dc:creator>
  <cp:keywords/>
  <dc:description/>
  <cp:lastModifiedBy>Hannah Brookhouse</cp:lastModifiedBy>
  <cp:revision>4</cp:revision>
  <cp:lastPrinted>2019-03-27T14:43:00Z</cp:lastPrinted>
  <dcterms:created xsi:type="dcterms:W3CDTF">2019-03-27T14:42:00Z</dcterms:created>
  <dcterms:modified xsi:type="dcterms:W3CDTF">2019-03-27T15:08:00Z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0x01010096A74B4680660545BEF0F72819BBF548</vt:lpwstr>
  </property>
</Properties>
</file>