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5FC4" w14:textId="77777777" w:rsidR="001E1A8D" w:rsidRPr="00801E5C" w:rsidRDefault="001E1A8D" w:rsidP="001E1A8D">
      <w:pPr>
        <w:spacing w:after="0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01E5C" w14:paraId="77FB2333" w14:textId="77777777" w:rsidTr="00801E5C">
        <w:tc>
          <w:tcPr>
            <w:tcW w:w="9628" w:type="dxa"/>
            <w:gridSpan w:val="2"/>
            <w:shd w:val="clear" w:color="auto" w:fill="BFBFBF" w:themeFill="background1" w:themeFillShade="BF"/>
          </w:tcPr>
          <w:p w14:paraId="526B4321" w14:textId="054CE7BC" w:rsidR="00801E5C" w:rsidRDefault="008D5593" w:rsidP="00F86730">
            <w:pPr>
              <w:jc w:val="both"/>
            </w:pPr>
            <w:r>
              <w:rPr>
                <w:b/>
                <w:sz w:val="32"/>
              </w:rPr>
              <w:t>Job</w:t>
            </w:r>
            <w:r w:rsidR="00C5284C">
              <w:rPr>
                <w:b/>
                <w:sz w:val="32"/>
              </w:rPr>
              <w:t xml:space="preserve"> Profile</w:t>
            </w:r>
          </w:p>
        </w:tc>
      </w:tr>
      <w:tr w:rsidR="00801E5C" w14:paraId="45F8A342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586BEBDE" w14:textId="2A5FB19D" w:rsidR="00801E5C" w:rsidRPr="00801E5C" w:rsidRDefault="008D5593" w:rsidP="00801E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 w:rsidR="00F86730">
              <w:rPr>
                <w:b/>
                <w:sz w:val="28"/>
              </w:rPr>
              <w:t xml:space="preserve"> Title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14:paraId="3F449AEF" w14:textId="7D4EF5C7" w:rsidR="00801E5C" w:rsidRPr="00F86730" w:rsidRDefault="00745660" w:rsidP="00801E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Referral Hub Coordinator</w:t>
            </w:r>
          </w:p>
        </w:tc>
      </w:tr>
      <w:tr w:rsidR="00F86730" w14:paraId="199560F8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79381E91" w14:textId="741D4AA0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Hours per Week</w:t>
            </w:r>
          </w:p>
        </w:tc>
        <w:tc>
          <w:tcPr>
            <w:tcW w:w="7223" w:type="dxa"/>
          </w:tcPr>
          <w:p w14:paraId="78F99350" w14:textId="2F261B4F" w:rsidR="00F86730" w:rsidRDefault="00745660" w:rsidP="000A4E01">
            <w:pPr>
              <w:rPr>
                <w:sz w:val="28"/>
              </w:rPr>
            </w:pPr>
            <w:r>
              <w:rPr>
                <w:sz w:val="28"/>
              </w:rPr>
              <w:t>37</w:t>
            </w:r>
            <w:r w:rsidR="00D650CB">
              <w:rPr>
                <w:sz w:val="28"/>
              </w:rPr>
              <w:t xml:space="preserve"> (Fixed Term 31</w:t>
            </w:r>
            <w:r w:rsidR="00D650CB" w:rsidRPr="00D650CB">
              <w:rPr>
                <w:sz w:val="28"/>
                <w:vertAlign w:val="superscript"/>
              </w:rPr>
              <w:t>st</w:t>
            </w:r>
            <w:r w:rsidR="00D650CB">
              <w:rPr>
                <w:sz w:val="28"/>
              </w:rPr>
              <w:t xml:space="preserve"> March 2020)</w:t>
            </w:r>
          </w:p>
        </w:tc>
      </w:tr>
      <w:tr w:rsidR="00F86730" w14:paraId="28C6ACD7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6E9BEC0C" w14:textId="0B9212AB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Salary</w:t>
            </w:r>
          </w:p>
        </w:tc>
        <w:tc>
          <w:tcPr>
            <w:tcW w:w="7223" w:type="dxa"/>
          </w:tcPr>
          <w:p w14:paraId="6EBB76BA" w14:textId="62468F3C" w:rsidR="00F86730" w:rsidRPr="00801E5C" w:rsidRDefault="00D650CB" w:rsidP="00F86730">
            <w:pPr>
              <w:rPr>
                <w:sz w:val="28"/>
              </w:rPr>
            </w:pPr>
            <w:r>
              <w:rPr>
                <w:sz w:val="28"/>
              </w:rPr>
              <w:t>Up to £19,782</w:t>
            </w:r>
            <w:r w:rsidR="00745660">
              <w:rPr>
                <w:sz w:val="28"/>
              </w:rPr>
              <w:t xml:space="preserve"> FTE (dependent upon experience)</w:t>
            </w:r>
          </w:p>
        </w:tc>
      </w:tr>
      <w:tr w:rsidR="00F86730" w14:paraId="1D6B3C89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68E183E7" w14:textId="3DD80D06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Responsible to</w:t>
            </w:r>
          </w:p>
        </w:tc>
        <w:tc>
          <w:tcPr>
            <w:tcW w:w="7223" w:type="dxa"/>
          </w:tcPr>
          <w:p w14:paraId="2E8E1FEB" w14:textId="62793E09" w:rsidR="00F86730" w:rsidRPr="00801E5C" w:rsidRDefault="00745660" w:rsidP="00F86730">
            <w:pPr>
              <w:rPr>
                <w:sz w:val="28"/>
              </w:rPr>
            </w:pPr>
            <w:r>
              <w:rPr>
                <w:sz w:val="28"/>
              </w:rPr>
              <w:t>Support Services Team Manager</w:t>
            </w:r>
          </w:p>
        </w:tc>
      </w:tr>
      <w:tr w:rsidR="00F86730" w14:paraId="215F1095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35FE1628" w14:textId="0B582D4D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Responsible for</w:t>
            </w:r>
          </w:p>
        </w:tc>
        <w:tc>
          <w:tcPr>
            <w:tcW w:w="7223" w:type="dxa"/>
          </w:tcPr>
          <w:p w14:paraId="6FA4D3D2" w14:textId="40CC72B3" w:rsidR="00F86730" w:rsidRPr="00801E5C" w:rsidRDefault="00745660" w:rsidP="00F86730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F86730" w14:paraId="6C5917E9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2BBB35F5" w14:textId="1CA21982" w:rsidR="00F86730" w:rsidRPr="00801E5C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Service/Team</w:t>
            </w:r>
          </w:p>
        </w:tc>
        <w:tc>
          <w:tcPr>
            <w:tcW w:w="7223" w:type="dxa"/>
          </w:tcPr>
          <w:p w14:paraId="4811C255" w14:textId="1072A070" w:rsidR="00F86730" w:rsidRDefault="00745660" w:rsidP="00F86730">
            <w:pPr>
              <w:rPr>
                <w:sz w:val="28"/>
              </w:rPr>
            </w:pPr>
            <w:r>
              <w:rPr>
                <w:sz w:val="28"/>
              </w:rPr>
              <w:t>Support Services</w:t>
            </w:r>
          </w:p>
        </w:tc>
      </w:tr>
      <w:tr w:rsidR="00F86730" w14:paraId="14FBABAB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4AB7CDC5" w14:textId="17050CA4" w:rsidR="00F86730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Number</w:t>
            </w:r>
          </w:p>
        </w:tc>
        <w:tc>
          <w:tcPr>
            <w:tcW w:w="7223" w:type="dxa"/>
          </w:tcPr>
          <w:p w14:paraId="085DE3E0" w14:textId="5A413F7F" w:rsidR="00F86730" w:rsidRDefault="00745660" w:rsidP="00F86730">
            <w:pPr>
              <w:rPr>
                <w:sz w:val="28"/>
              </w:rPr>
            </w:pPr>
            <w:r>
              <w:rPr>
                <w:sz w:val="28"/>
              </w:rPr>
              <w:t>HSS-HR-017</w:t>
            </w:r>
          </w:p>
        </w:tc>
      </w:tr>
      <w:tr w:rsidR="008D5593" w14:paraId="79C36ECE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78857B8D" w14:textId="5BB311B2" w:rsidR="008D5593" w:rsidRDefault="008D5593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Base/Location</w:t>
            </w:r>
          </w:p>
        </w:tc>
        <w:tc>
          <w:tcPr>
            <w:tcW w:w="7223" w:type="dxa"/>
          </w:tcPr>
          <w:p w14:paraId="33E1D55F" w14:textId="41B81DD4" w:rsidR="008D5593" w:rsidRDefault="008D5593" w:rsidP="00F86730">
            <w:pPr>
              <w:rPr>
                <w:sz w:val="28"/>
              </w:rPr>
            </w:pPr>
            <w:r>
              <w:rPr>
                <w:sz w:val="28"/>
              </w:rPr>
              <w:t>38 Leicester Road, Loughborough, Leicestershire, LE11 2AG</w:t>
            </w:r>
          </w:p>
        </w:tc>
      </w:tr>
    </w:tbl>
    <w:p w14:paraId="162075AB" w14:textId="764ED5CB" w:rsidR="00801E5C" w:rsidRDefault="00801E5C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E5C" w14:paraId="638D0AFB" w14:textId="77777777" w:rsidTr="00801E5C">
        <w:tc>
          <w:tcPr>
            <w:tcW w:w="9628" w:type="dxa"/>
            <w:shd w:val="clear" w:color="auto" w:fill="BFBFBF" w:themeFill="background1" w:themeFillShade="BF"/>
          </w:tcPr>
          <w:p w14:paraId="7BBB8292" w14:textId="7FDBA0AD" w:rsidR="00801E5C" w:rsidRDefault="008D5593" w:rsidP="00F8673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Job</w:t>
            </w:r>
            <w:r w:rsidR="00801E5C" w:rsidRPr="00801E5C">
              <w:rPr>
                <w:b/>
                <w:sz w:val="28"/>
              </w:rPr>
              <w:t xml:space="preserve"> Purpose</w:t>
            </w:r>
          </w:p>
        </w:tc>
      </w:tr>
      <w:tr w:rsidR="00801E5C" w14:paraId="3C53B406" w14:textId="77777777" w:rsidTr="00801E5C">
        <w:tc>
          <w:tcPr>
            <w:tcW w:w="9628" w:type="dxa"/>
          </w:tcPr>
          <w:p w14:paraId="597E758A" w14:textId="56FFAD5B" w:rsidR="00801E5C" w:rsidRDefault="005B6646" w:rsidP="005870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The Referral Hub Co-ordinator will be responsible for receiving, assessing and processing referrals for floating support and accommodation for our Housing Matters Service. This role will include undertaking initial assessments </w:t>
            </w:r>
            <w:r w:rsidR="009E1E33">
              <w:rPr>
                <w:rFonts w:ascii="Calibri" w:hAnsi="Calibri" w:cs="Arial"/>
                <w:color w:val="000000"/>
                <w:sz w:val="24"/>
                <w:szCs w:val="24"/>
              </w:rPr>
              <w:t>with clients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co-ordinating referrals with our partner organisations (NCHA and Falcon Support Services) and management of the waiting list.</w:t>
            </w:r>
          </w:p>
          <w:p w14:paraId="2FD44CCA" w14:textId="77777777" w:rsidR="00D650CB" w:rsidRDefault="00D650CB" w:rsidP="0058705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4EB2769" w14:textId="6E781FD8" w:rsidR="00D650CB" w:rsidRPr="005B6646" w:rsidRDefault="00D650CB" w:rsidP="00D650C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You will also work closely with the Support Services Team Manager to </w:t>
            </w:r>
            <w:r>
              <w:rPr>
                <w:rFonts w:ascii="Calibri" w:hAnsi="Calibri" w:cs="Arial"/>
                <w:sz w:val="24"/>
                <w:szCs w:val="24"/>
              </w:rPr>
              <w:t>monitor closure of</w:t>
            </w:r>
            <w:r w:rsidRPr="00BE7427">
              <w:rPr>
                <w:rFonts w:ascii="Calibri" w:hAnsi="Calibri" w:cs="Arial"/>
                <w:sz w:val="24"/>
                <w:szCs w:val="24"/>
              </w:rPr>
              <w:t xml:space="preserve"> sup</w:t>
            </w:r>
            <w:r>
              <w:rPr>
                <w:rFonts w:ascii="Calibri" w:hAnsi="Calibri" w:cs="Arial"/>
                <w:sz w:val="24"/>
                <w:szCs w:val="24"/>
              </w:rPr>
              <w:t>port and make allocations of new clients to support workers.</w:t>
            </w:r>
          </w:p>
        </w:tc>
      </w:tr>
    </w:tbl>
    <w:p w14:paraId="496CC12F" w14:textId="18A8A764" w:rsidR="00801E5C" w:rsidRDefault="00801E5C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E5C" w14:paraId="7CB9DE01" w14:textId="77777777" w:rsidTr="00813A45">
        <w:tc>
          <w:tcPr>
            <w:tcW w:w="9628" w:type="dxa"/>
            <w:shd w:val="clear" w:color="auto" w:fill="BFBFBF" w:themeFill="background1" w:themeFillShade="BF"/>
          </w:tcPr>
          <w:p w14:paraId="3550EDA7" w14:textId="33DA3E21" w:rsidR="00801E5C" w:rsidRDefault="00C5284C" w:rsidP="00F8673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Main Duties and Responsibilities</w:t>
            </w:r>
          </w:p>
        </w:tc>
      </w:tr>
      <w:tr w:rsidR="00777EEC" w14:paraId="0285124B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23C61E4C" w14:textId="7A261995" w:rsidR="00777EEC" w:rsidRPr="00777EEC" w:rsidRDefault="005B6646" w:rsidP="00F867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Referral Hub Coordinator Responsibilities</w:t>
            </w:r>
          </w:p>
        </w:tc>
      </w:tr>
      <w:tr w:rsidR="00777EEC" w14:paraId="28599036" w14:textId="77777777" w:rsidTr="00777EEC">
        <w:tc>
          <w:tcPr>
            <w:tcW w:w="9628" w:type="dxa"/>
          </w:tcPr>
          <w:p w14:paraId="1D16030B" w14:textId="42225CBB" w:rsidR="005B6646" w:rsidRPr="005B6646" w:rsidRDefault="005B6646" w:rsidP="005B6646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3E399D">
              <w:rPr>
                <w:rFonts w:ascii="Calibri" w:hAnsi="Calibri" w:cs="Arial"/>
                <w:sz w:val="24"/>
                <w:szCs w:val="24"/>
              </w:rPr>
              <w:t xml:space="preserve">To process </w:t>
            </w:r>
            <w:r>
              <w:rPr>
                <w:rFonts w:ascii="Calibri" w:hAnsi="Calibri" w:cs="Arial"/>
                <w:sz w:val="24"/>
                <w:szCs w:val="24"/>
              </w:rPr>
              <w:t xml:space="preserve">all </w:t>
            </w:r>
            <w:r w:rsidRPr="003E399D">
              <w:rPr>
                <w:rFonts w:ascii="Calibri" w:hAnsi="Calibri" w:cs="Arial"/>
                <w:sz w:val="24"/>
                <w:szCs w:val="24"/>
              </w:rPr>
              <w:t>i</w:t>
            </w:r>
            <w:r>
              <w:rPr>
                <w:rFonts w:ascii="Calibri" w:hAnsi="Calibri" w:cs="Arial"/>
                <w:sz w:val="24"/>
                <w:szCs w:val="24"/>
              </w:rPr>
              <w:t>ncoming referrals, providing clear and regular communication with referrers and clients until they are allocated to a support worker</w:t>
            </w:r>
            <w:r w:rsidR="00D650CB">
              <w:rPr>
                <w:rFonts w:ascii="Calibri" w:hAnsi="Calibri" w:cs="Arial"/>
                <w:sz w:val="24"/>
                <w:szCs w:val="24"/>
              </w:rPr>
              <w:t xml:space="preserve"> or accommodated</w:t>
            </w:r>
          </w:p>
          <w:p w14:paraId="3B7A59E9" w14:textId="563A362F" w:rsidR="005B6646" w:rsidRDefault="005B6646" w:rsidP="005B6646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5B6646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 w:rsidR="009E1E33">
              <w:rPr>
                <w:rFonts w:ascii="Calibri" w:hAnsi="Calibri" w:cs="Arial"/>
                <w:sz w:val="24"/>
                <w:szCs w:val="24"/>
              </w:rPr>
              <w:t>carry out</w:t>
            </w:r>
            <w:r w:rsidRPr="005B6646">
              <w:rPr>
                <w:rFonts w:ascii="Calibri" w:hAnsi="Calibri" w:cs="Arial"/>
                <w:sz w:val="24"/>
                <w:szCs w:val="24"/>
              </w:rPr>
              <w:t xml:space="preserve"> initial needs and risk assessment</w:t>
            </w:r>
            <w:r w:rsidR="009E1E33">
              <w:rPr>
                <w:rFonts w:ascii="Calibri" w:hAnsi="Calibri" w:cs="Arial"/>
                <w:sz w:val="24"/>
                <w:szCs w:val="24"/>
              </w:rPr>
              <w:t xml:space="preserve">s with all clients accessing the Housing Matters </w:t>
            </w:r>
            <w:r w:rsidR="00BA4D0F">
              <w:rPr>
                <w:rFonts w:ascii="Calibri" w:hAnsi="Calibri" w:cs="Arial"/>
                <w:sz w:val="24"/>
                <w:szCs w:val="24"/>
              </w:rPr>
              <w:t xml:space="preserve">Floating Support </w:t>
            </w:r>
            <w:r w:rsidRPr="005B6646">
              <w:rPr>
                <w:rFonts w:ascii="Calibri" w:hAnsi="Calibri" w:cs="Arial"/>
                <w:sz w:val="24"/>
                <w:szCs w:val="24"/>
              </w:rPr>
              <w:t xml:space="preserve">Service </w:t>
            </w:r>
            <w:r w:rsidR="009E1E33">
              <w:rPr>
                <w:rFonts w:ascii="Calibri" w:hAnsi="Calibri" w:cs="Arial"/>
                <w:sz w:val="24"/>
                <w:szCs w:val="24"/>
              </w:rPr>
              <w:t>to inform future support plans</w:t>
            </w:r>
          </w:p>
          <w:p w14:paraId="20895752" w14:textId="1C80B012" w:rsidR="005B6646" w:rsidRPr="005B6646" w:rsidRDefault="005B6646" w:rsidP="005B6646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To keep accurate and concise records of </w:t>
            </w:r>
            <w:r w:rsidR="009E1E33">
              <w:rPr>
                <w:rFonts w:ascii="Calibri" w:hAnsi="Calibri" w:cs="Arial"/>
                <w:sz w:val="24"/>
                <w:szCs w:val="24"/>
              </w:rPr>
              <w:t xml:space="preserve">these </w:t>
            </w:r>
            <w:r>
              <w:rPr>
                <w:rFonts w:ascii="Calibri" w:hAnsi="Calibri" w:cs="Arial"/>
                <w:sz w:val="24"/>
                <w:szCs w:val="24"/>
              </w:rPr>
              <w:t>assessments on our client management database, ensuring this information is shared with the relevant partners once a client is allocated</w:t>
            </w:r>
          </w:p>
          <w:p w14:paraId="65A5B122" w14:textId="2385F3E6" w:rsidR="005B6646" w:rsidRPr="00BA4D0F" w:rsidRDefault="005B6646" w:rsidP="00BA4D0F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 produce well-presented emails and letters which notify referrers and clients of their progress throughout the referral process</w:t>
            </w:r>
          </w:p>
          <w:p w14:paraId="312D8B44" w14:textId="75F94095" w:rsidR="005B6646" w:rsidRDefault="005B6646" w:rsidP="005B6646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To assess the eligibility of referrals made to accommodation based services and to work in partnership with Falcon Support Services in maintaining the waiting list </w:t>
            </w:r>
            <w:r w:rsidR="00D650CB">
              <w:rPr>
                <w:rFonts w:ascii="Calibri" w:hAnsi="Calibri" w:cs="Arial"/>
                <w:sz w:val="24"/>
                <w:szCs w:val="24"/>
              </w:rPr>
              <w:t>for this element of the service</w:t>
            </w:r>
          </w:p>
          <w:p w14:paraId="167A2950" w14:textId="31FEFBC2" w:rsidR="005B6646" w:rsidRPr="005B6646" w:rsidRDefault="005B6646" w:rsidP="005B6646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 professionally challenge external agencies in line with relevant housi</w:t>
            </w:r>
            <w:r w:rsidR="00D650CB">
              <w:rPr>
                <w:rFonts w:ascii="Calibri" w:hAnsi="Calibri" w:cs="Arial"/>
                <w:sz w:val="24"/>
                <w:szCs w:val="24"/>
              </w:rPr>
              <w:t>ng and homelessness legislation</w:t>
            </w:r>
            <w:r w:rsidR="009E1E33">
              <w:rPr>
                <w:rFonts w:ascii="Calibri" w:hAnsi="Calibri" w:cs="Arial"/>
                <w:sz w:val="24"/>
                <w:szCs w:val="24"/>
              </w:rPr>
              <w:t xml:space="preserve"> and advocate for clients where possible</w:t>
            </w:r>
          </w:p>
          <w:p w14:paraId="22699312" w14:textId="4269A8E7" w:rsidR="005B6646" w:rsidRPr="005B6646" w:rsidRDefault="005B6646" w:rsidP="005B6646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 provide referral updates to local authorities and registered provider partners regarding referrals to both the floating and accommodation elements</w:t>
            </w:r>
            <w:r w:rsidR="00D650CB">
              <w:rPr>
                <w:rFonts w:ascii="Calibri" w:hAnsi="Calibri" w:cs="Arial"/>
                <w:sz w:val="24"/>
                <w:szCs w:val="24"/>
              </w:rPr>
              <w:t xml:space="preserve"> of the Housing Matters service</w:t>
            </w:r>
          </w:p>
          <w:p w14:paraId="5E376CF9" w14:textId="5DFDA081" w:rsidR="005B6646" w:rsidRPr="005B6646" w:rsidRDefault="005B6646" w:rsidP="005B6646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BE7427">
              <w:rPr>
                <w:rFonts w:ascii="Calibri" w:hAnsi="Calibri" w:cs="Arial"/>
                <w:sz w:val="24"/>
                <w:szCs w:val="24"/>
              </w:rPr>
              <w:t xml:space="preserve">To distribute </w:t>
            </w:r>
            <w:r w:rsidR="009E1E33">
              <w:rPr>
                <w:rFonts w:ascii="Calibri" w:hAnsi="Calibri" w:cs="Arial"/>
                <w:sz w:val="24"/>
                <w:szCs w:val="24"/>
              </w:rPr>
              <w:t>eligible</w:t>
            </w:r>
            <w:r w:rsidRPr="00BE7427">
              <w:rPr>
                <w:rFonts w:ascii="Calibri" w:hAnsi="Calibri" w:cs="Arial"/>
                <w:sz w:val="24"/>
                <w:szCs w:val="24"/>
              </w:rPr>
              <w:t xml:space="preserve"> referrals to the appropriate organisation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liaising regularly with </w:t>
            </w:r>
            <w:r w:rsidR="00BA4D0F">
              <w:rPr>
                <w:rFonts w:ascii="Calibri" w:hAnsi="Calibri" w:cs="Arial"/>
                <w:sz w:val="24"/>
                <w:szCs w:val="24"/>
              </w:rPr>
              <w:t>Support Services Team Manager</w:t>
            </w:r>
            <w:r>
              <w:rPr>
                <w:rFonts w:ascii="Calibri" w:hAnsi="Calibri" w:cs="Arial"/>
                <w:sz w:val="24"/>
                <w:szCs w:val="24"/>
              </w:rPr>
              <w:t xml:space="preserve"> to ensure this process is working effectively</w:t>
            </w:r>
          </w:p>
          <w:p w14:paraId="6B2B70F9" w14:textId="030DFF83" w:rsidR="005B6646" w:rsidRPr="005B6646" w:rsidRDefault="005B6646" w:rsidP="005B6646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3E399D">
              <w:rPr>
                <w:rFonts w:ascii="Calibri" w:hAnsi="Calibri" w:cs="Arial"/>
                <w:sz w:val="24"/>
                <w:szCs w:val="24"/>
              </w:rPr>
              <w:lastRenderedPageBreak/>
              <w:t>To manage the w</w:t>
            </w:r>
            <w:r>
              <w:rPr>
                <w:rFonts w:ascii="Calibri" w:hAnsi="Calibri" w:cs="Arial"/>
                <w:sz w:val="24"/>
                <w:szCs w:val="24"/>
              </w:rPr>
              <w:t>aiting list</w:t>
            </w:r>
            <w:r w:rsidRPr="003E399D">
              <w:rPr>
                <w:rFonts w:ascii="Calibri" w:hAnsi="Calibri" w:cs="Arial"/>
                <w:sz w:val="24"/>
                <w:szCs w:val="24"/>
              </w:rPr>
              <w:t xml:space="preserve"> for </w:t>
            </w:r>
            <w:r w:rsidR="00BA4D0F">
              <w:rPr>
                <w:rFonts w:ascii="Calibri" w:hAnsi="Calibri" w:cs="Arial"/>
                <w:sz w:val="24"/>
                <w:szCs w:val="24"/>
              </w:rPr>
              <w:t>the floating support service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monitoring the awards of waiting list points, keeping in touch routinely with clients waiting for services, alerting </w:t>
            </w:r>
            <w:r w:rsidR="00BA4D0F">
              <w:rPr>
                <w:rFonts w:ascii="Calibri" w:hAnsi="Calibri" w:cs="Arial"/>
                <w:sz w:val="24"/>
                <w:szCs w:val="24"/>
              </w:rPr>
              <w:t xml:space="preserve">Support Services Team Manager </w:t>
            </w:r>
            <w:r>
              <w:rPr>
                <w:rFonts w:ascii="Calibri" w:hAnsi="Calibri" w:cs="Arial"/>
                <w:sz w:val="24"/>
                <w:szCs w:val="24"/>
              </w:rPr>
              <w:t>to changes in circumstances</w:t>
            </w:r>
          </w:p>
          <w:p w14:paraId="36807A1D" w14:textId="3C9E6D84" w:rsidR="005B6646" w:rsidRPr="005B6646" w:rsidRDefault="005B6646" w:rsidP="005B6646">
            <w:pPr>
              <w:widowControl w:val="0"/>
              <w:numPr>
                <w:ilvl w:val="0"/>
                <w:numId w:val="3"/>
              </w:numPr>
              <w:tabs>
                <w:tab w:val="left" w:pos="754"/>
                <w:tab w:val="left" w:pos="1462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BE7427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>monitor closure of</w:t>
            </w:r>
            <w:r w:rsidRPr="00BE7427">
              <w:rPr>
                <w:rFonts w:ascii="Calibri" w:hAnsi="Calibri" w:cs="Arial"/>
                <w:sz w:val="24"/>
                <w:szCs w:val="24"/>
              </w:rPr>
              <w:t xml:space="preserve"> sup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port and </w:t>
            </w:r>
            <w:r w:rsidR="00BA4D0F">
              <w:rPr>
                <w:rFonts w:ascii="Calibri" w:hAnsi="Calibri" w:cs="Arial"/>
                <w:sz w:val="24"/>
                <w:szCs w:val="24"/>
              </w:rPr>
              <w:t xml:space="preserve">make </w:t>
            </w:r>
            <w:r>
              <w:rPr>
                <w:rFonts w:ascii="Calibri" w:hAnsi="Calibri" w:cs="Arial"/>
                <w:sz w:val="24"/>
                <w:szCs w:val="24"/>
              </w:rPr>
              <w:t>allocation</w:t>
            </w:r>
            <w:r w:rsidR="00BA4D0F">
              <w:rPr>
                <w:rFonts w:ascii="Calibri" w:hAnsi="Calibri" w:cs="Arial"/>
                <w:sz w:val="24"/>
                <w:szCs w:val="24"/>
              </w:rPr>
              <w:t>s</w:t>
            </w:r>
            <w:r>
              <w:rPr>
                <w:rFonts w:ascii="Calibri" w:hAnsi="Calibri" w:cs="Arial"/>
                <w:sz w:val="24"/>
                <w:szCs w:val="24"/>
              </w:rPr>
              <w:t xml:space="preserve"> of new clients to support workers</w:t>
            </w:r>
          </w:p>
          <w:p w14:paraId="6FD9CC32" w14:textId="1F986B23" w:rsidR="005B6646" w:rsidRPr="005B6646" w:rsidRDefault="005B6646" w:rsidP="005B6646">
            <w:pPr>
              <w:widowControl w:val="0"/>
              <w:numPr>
                <w:ilvl w:val="0"/>
                <w:numId w:val="3"/>
              </w:numPr>
              <w:tabs>
                <w:tab w:val="left" w:pos="754"/>
                <w:tab w:val="left" w:pos="1462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 collate feedback regarding the service and to produce well written reports</w:t>
            </w:r>
          </w:p>
          <w:p w14:paraId="461B8211" w14:textId="42B4A40C" w:rsidR="00832CED" w:rsidRPr="00832CED" w:rsidRDefault="005B6646" w:rsidP="00832CED">
            <w:pPr>
              <w:widowControl w:val="0"/>
              <w:numPr>
                <w:ilvl w:val="0"/>
                <w:numId w:val="3"/>
              </w:numPr>
              <w:tabs>
                <w:tab w:val="left" w:pos="754"/>
                <w:tab w:val="left" w:pos="146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E399D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maintain </w:t>
            </w:r>
            <w:r w:rsidR="00BA4D0F">
              <w:rPr>
                <w:rFonts w:ascii="Calibri" w:hAnsi="Calibri" w:cs="Arial"/>
                <w:sz w:val="24"/>
                <w:szCs w:val="24"/>
              </w:rPr>
              <w:t xml:space="preserve">initial need/risk assessment paperwork and ensure that information within the </w:t>
            </w:r>
            <w:r>
              <w:rPr>
                <w:rFonts w:ascii="Calibri" w:hAnsi="Calibri" w:cs="Arial"/>
                <w:sz w:val="24"/>
                <w:szCs w:val="24"/>
              </w:rPr>
              <w:t>‘</w:t>
            </w:r>
            <w:r w:rsidRPr="003E399D">
              <w:rPr>
                <w:rFonts w:ascii="Calibri" w:hAnsi="Calibri" w:cs="Arial"/>
                <w:sz w:val="24"/>
                <w:szCs w:val="24"/>
              </w:rPr>
              <w:t>Welcome Pack</w:t>
            </w:r>
            <w:r>
              <w:rPr>
                <w:rFonts w:ascii="Calibri" w:hAnsi="Calibri" w:cs="Arial"/>
                <w:sz w:val="24"/>
                <w:szCs w:val="24"/>
              </w:rPr>
              <w:t xml:space="preserve">s’ for new clients </w:t>
            </w:r>
            <w:r w:rsidR="00BA4D0F">
              <w:rPr>
                <w:rFonts w:ascii="Calibri" w:hAnsi="Calibri" w:cs="Arial"/>
                <w:sz w:val="24"/>
                <w:szCs w:val="24"/>
              </w:rPr>
              <w:t xml:space="preserve">is </w:t>
            </w:r>
            <w:r>
              <w:rPr>
                <w:rFonts w:ascii="Calibri" w:hAnsi="Calibri" w:cs="Arial"/>
                <w:sz w:val="24"/>
                <w:szCs w:val="24"/>
              </w:rPr>
              <w:t>appropriate and up to date</w:t>
            </w:r>
            <w:r w:rsidR="00BA4D0F">
              <w:rPr>
                <w:rFonts w:ascii="Calibri" w:hAnsi="Calibri" w:cs="Arial"/>
                <w:sz w:val="24"/>
                <w:szCs w:val="24"/>
              </w:rPr>
              <w:t xml:space="preserve"> and that there is always a stock available for clients and support </w:t>
            </w:r>
            <w:r w:rsidR="00D650CB">
              <w:rPr>
                <w:rFonts w:ascii="Calibri" w:hAnsi="Calibri" w:cs="Arial"/>
                <w:sz w:val="24"/>
                <w:szCs w:val="24"/>
              </w:rPr>
              <w:t>workers</w:t>
            </w:r>
          </w:p>
        </w:tc>
      </w:tr>
      <w:tr w:rsidR="00801E5C" w14:paraId="3A5E7C96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505DD26D" w14:textId="5657F4AF" w:rsidR="00801E5C" w:rsidRPr="00777EEC" w:rsidRDefault="00801E5C" w:rsidP="00F86730">
            <w:pPr>
              <w:jc w:val="both"/>
              <w:rPr>
                <w:b/>
                <w:sz w:val="24"/>
              </w:rPr>
            </w:pPr>
            <w:r w:rsidRPr="00777EEC">
              <w:rPr>
                <w:b/>
                <w:sz w:val="24"/>
              </w:rPr>
              <w:lastRenderedPageBreak/>
              <w:t>General</w:t>
            </w:r>
            <w:r w:rsidR="00777EEC" w:rsidRPr="00777EEC">
              <w:rPr>
                <w:b/>
                <w:sz w:val="24"/>
              </w:rPr>
              <w:t xml:space="preserve"> Organisational Duties</w:t>
            </w:r>
          </w:p>
        </w:tc>
      </w:tr>
      <w:tr w:rsidR="00801E5C" w14:paraId="4BC6F538" w14:textId="77777777" w:rsidTr="00801E5C">
        <w:tc>
          <w:tcPr>
            <w:tcW w:w="9628" w:type="dxa"/>
          </w:tcPr>
          <w:p w14:paraId="559296E8" w14:textId="34110C27" w:rsidR="00777EEC" w:rsidRPr="00F86730" w:rsidRDefault="00777EEC" w:rsidP="00C5284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comply </w:t>
            </w:r>
            <w:r>
              <w:rPr>
                <w:rFonts w:ascii="Calibri" w:hAnsi="Calibri" w:cs="Arial"/>
                <w:sz w:val="24"/>
                <w:szCs w:val="24"/>
              </w:rPr>
              <w:t>with, and adhere to, The Bridge’s Quality Management System (QMS)</w:t>
            </w:r>
          </w:p>
          <w:p w14:paraId="65C5D999" w14:textId="77777777" w:rsidR="00777EEC" w:rsidRPr="00777EE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>To take responsibility for producing your own correspondence</w:t>
            </w:r>
          </w:p>
          <w:p w14:paraId="2929B647" w14:textId="5B757B11" w:rsidR="00777EEC" w:rsidRPr="00777EE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take </w:t>
            </w:r>
            <w:r w:rsidR="00A72E24">
              <w:rPr>
                <w:rFonts w:ascii="Calibri" w:hAnsi="Calibri" w:cs="Arial"/>
                <w:sz w:val="24"/>
                <w:szCs w:val="24"/>
              </w:rPr>
              <w:t>engage with, and contribute in,</w:t>
            </w:r>
            <w:r>
              <w:rPr>
                <w:rFonts w:ascii="Calibri" w:hAnsi="Calibri" w:cs="Arial"/>
                <w:sz w:val="24"/>
                <w:szCs w:val="24"/>
              </w:rPr>
              <w:t xml:space="preserve"> your own Training and Continual Professional Development</w:t>
            </w:r>
          </w:p>
          <w:p w14:paraId="69061A55" w14:textId="0637BFEE" w:rsidR="00777EEC" w:rsidRPr="00777EE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>embed and exhibit The Bridge’s Values and Ethos in your work</w:t>
            </w:r>
          </w:p>
          <w:p w14:paraId="7D369E33" w14:textId="67CE3B03" w:rsidR="00801E5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take responsibility for your own health and safety and that of others in line with The Bridge’s Health and Safety </w:t>
            </w:r>
            <w:r w:rsidR="00C5284C">
              <w:rPr>
                <w:rFonts w:ascii="Calibri" w:hAnsi="Calibri" w:cs="Arial"/>
                <w:sz w:val="24"/>
                <w:szCs w:val="24"/>
              </w:rPr>
              <w:t>P</w:t>
            </w:r>
            <w:r w:rsidRPr="00777EEC">
              <w:rPr>
                <w:rFonts w:ascii="Calibri" w:hAnsi="Calibri" w:cs="Arial"/>
                <w:sz w:val="24"/>
                <w:szCs w:val="24"/>
              </w:rPr>
              <w:t>olicy</w:t>
            </w:r>
          </w:p>
          <w:p w14:paraId="55DE49ED" w14:textId="5898E13B" w:rsidR="00832CED" w:rsidRPr="00832CED" w:rsidRDefault="00C5284C" w:rsidP="00832CE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>To undertake other duties as required by the Chief Officer to ensure the smooth running of The Bridge</w:t>
            </w:r>
          </w:p>
        </w:tc>
      </w:tr>
      <w:tr w:rsidR="00C5284C" w14:paraId="1DD7375C" w14:textId="77777777" w:rsidTr="00813A45">
        <w:tc>
          <w:tcPr>
            <w:tcW w:w="9628" w:type="dxa"/>
            <w:shd w:val="clear" w:color="auto" w:fill="D9D9D9" w:themeFill="background1" w:themeFillShade="D9"/>
          </w:tcPr>
          <w:p w14:paraId="201D4470" w14:textId="04CA7D31" w:rsidR="00C5284C" w:rsidRPr="00777EEC" w:rsidRDefault="00C5284C" w:rsidP="00F867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 Factors</w:t>
            </w:r>
          </w:p>
        </w:tc>
      </w:tr>
      <w:tr w:rsidR="00C5284C" w14:paraId="179B595D" w14:textId="77777777" w:rsidTr="00813A45">
        <w:tc>
          <w:tcPr>
            <w:tcW w:w="9628" w:type="dxa"/>
          </w:tcPr>
          <w:p w14:paraId="3B1805B7" w14:textId="77777777" w:rsidR="00C5284C" w:rsidRDefault="00C5284C" w:rsidP="00813A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This role is required to work occasional evenings and weekends</w:t>
            </w:r>
          </w:p>
          <w:p w14:paraId="1295CB0C" w14:textId="023A1D0F" w:rsidR="00832CED" w:rsidRPr="00832CED" w:rsidRDefault="00C5284C" w:rsidP="00832CE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This role requires a full driving licence and a car</w:t>
            </w:r>
          </w:p>
        </w:tc>
      </w:tr>
    </w:tbl>
    <w:p w14:paraId="6C1E4355" w14:textId="77777777" w:rsidR="00832CED" w:rsidRDefault="00832CED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7EEC" w14:paraId="44AFB9E0" w14:textId="77777777" w:rsidTr="00813A45">
        <w:tc>
          <w:tcPr>
            <w:tcW w:w="9628" w:type="dxa"/>
            <w:shd w:val="clear" w:color="auto" w:fill="BFBFBF" w:themeFill="background1" w:themeFillShade="BF"/>
          </w:tcPr>
          <w:p w14:paraId="2DE1A626" w14:textId="586C6FA9" w:rsidR="00777EEC" w:rsidRDefault="00777EEC" w:rsidP="00F8673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Person Specification</w:t>
            </w:r>
          </w:p>
        </w:tc>
      </w:tr>
    </w:tbl>
    <w:p w14:paraId="65B58626" w14:textId="3CA6877C" w:rsidR="00777EEC" w:rsidRDefault="00777EEC" w:rsidP="00801E5C">
      <w:pPr>
        <w:spacing w:after="0"/>
        <w:jc w:val="center"/>
        <w:rPr>
          <w:sz w:val="24"/>
        </w:rPr>
      </w:pPr>
    </w:p>
    <w:p w14:paraId="47389264" w14:textId="77777777" w:rsidR="00D650CB" w:rsidRPr="0044239E" w:rsidRDefault="00D650CB" w:rsidP="00D650CB">
      <w:pPr>
        <w:spacing w:after="0"/>
        <w:jc w:val="both"/>
        <w:rPr>
          <w:sz w:val="24"/>
        </w:rPr>
      </w:pPr>
      <w:r>
        <w:rPr>
          <w:sz w:val="24"/>
        </w:rPr>
        <w:t xml:space="preserve">The following criteria define the relevant knowledge, experience, skills and abilities which a candidate will need to demonstrate throughout the recruitment process.  The criteria will be </w:t>
      </w:r>
      <w:r w:rsidRPr="0044239E">
        <w:rPr>
          <w:sz w:val="24"/>
        </w:rPr>
        <w:t>assessed at different stages including Application (A), Interview (I), Test (T) or Presentation (P).</w:t>
      </w:r>
    </w:p>
    <w:p w14:paraId="6054D214" w14:textId="77777777" w:rsidR="00D650CB" w:rsidRPr="0044239E" w:rsidRDefault="00D650CB" w:rsidP="00D650CB">
      <w:pPr>
        <w:spacing w:after="0"/>
        <w:jc w:val="both"/>
        <w:rPr>
          <w:sz w:val="24"/>
        </w:rPr>
      </w:pPr>
    </w:p>
    <w:p w14:paraId="310C3B9C" w14:textId="77777777" w:rsidR="00D650CB" w:rsidRDefault="00D650CB" w:rsidP="00D650CB">
      <w:pPr>
        <w:spacing w:after="0"/>
        <w:jc w:val="both"/>
        <w:rPr>
          <w:sz w:val="24"/>
        </w:rPr>
      </w:pPr>
      <w:r w:rsidRPr="0044239E">
        <w:rPr>
          <w:sz w:val="24"/>
        </w:rPr>
        <w:t>In the final column we have provided a weighting in respect of the importance of meeting each criteria; 1 necessary, 2 important, 3 essential. The answer to each criteria will then be scored by members of the shortlisting panel on a scale of 0 to 2; 0 unmet, 1 part-met and 2 met. The total score of the application form will then be converted into a percentage which will be assessed against the organisational shortlisting thresholds. Candidates who meet, or exceed, this threshold will be invited to interview.</w:t>
      </w:r>
    </w:p>
    <w:p w14:paraId="1BA8FAB4" w14:textId="77777777" w:rsidR="00B33387" w:rsidRDefault="00B33387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6713"/>
        <w:gridCol w:w="567"/>
        <w:gridCol w:w="567"/>
        <w:gridCol w:w="567"/>
        <w:gridCol w:w="561"/>
      </w:tblGrid>
      <w:tr w:rsidR="00D650CB" w14:paraId="07531955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18F48CFD" w14:textId="75BFBD90" w:rsidR="00D650CB" w:rsidRPr="00B33387" w:rsidRDefault="00D650CB" w:rsidP="00D650C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713" w:type="dxa"/>
            <w:shd w:val="clear" w:color="auto" w:fill="D9D9D9" w:themeFill="background1" w:themeFillShade="D9"/>
          </w:tcPr>
          <w:p w14:paraId="78D17C01" w14:textId="726C2FB4" w:rsidR="00D650CB" w:rsidRPr="00B33387" w:rsidRDefault="00D650CB" w:rsidP="00D650CB">
            <w:pPr>
              <w:jc w:val="both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Criteria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8F381D" w14:textId="70B9D1A8" w:rsidR="00D650CB" w:rsidRPr="00B33387" w:rsidRDefault="00D650CB" w:rsidP="00D650CB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686CDA" w14:textId="40254061" w:rsidR="00D650CB" w:rsidRPr="00B33387" w:rsidRDefault="00D650CB" w:rsidP="00D650CB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E9369F" w14:textId="2042BE50" w:rsidR="00D650CB" w:rsidRPr="00B33387" w:rsidRDefault="00D650CB" w:rsidP="00D650CB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/P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7D24C97F" w14:textId="7D33B7C8" w:rsidR="00D650CB" w:rsidRPr="00B33387" w:rsidRDefault="00D650CB" w:rsidP="00D650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</w:tr>
      <w:tr w:rsidR="004B76F1" w14:paraId="180C883D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08577E05" w14:textId="5FEA6EAB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1F8A2F1B" w14:textId="6E634464" w:rsidR="004B76F1" w:rsidRPr="004B76F1" w:rsidRDefault="00F87AE6" w:rsidP="004B76F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cs="Arial"/>
              </w:rPr>
              <w:t>A</w:t>
            </w:r>
            <w:r w:rsidRPr="005B6646">
              <w:rPr>
                <w:rFonts w:cs="Arial"/>
              </w:rPr>
              <w:t xml:space="preserve"> basic knowledge and understanding of the key principles involved in delivering a high quality Housing Support service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3DD582" w14:textId="15386B21" w:rsidR="004B76F1" w:rsidRDefault="00774F5E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634A6A1" w14:textId="7143AFDA" w:rsidR="004B76F1" w:rsidRDefault="004B76F1" w:rsidP="00B3338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CE9567D" w14:textId="121344D3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1" w:type="dxa"/>
          </w:tcPr>
          <w:p w14:paraId="4EA7D7BF" w14:textId="75EDE967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7AE6" w14:paraId="4E751969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4935D3CE" w14:textId="3FA48889" w:rsidR="00F87AE6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3A0A8C7C" w14:textId="77777777" w:rsidR="00F87AE6" w:rsidRDefault="00F87AE6" w:rsidP="00F87A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Good working kn</w:t>
            </w:r>
            <w:r w:rsidRPr="00D16D08">
              <w:rPr>
                <w:rFonts w:ascii="Calibri" w:hAnsi="Calibri" w:cs="Calibri"/>
                <w:sz w:val="24"/>
                <w:szCs w:val="24"/>
              </w:rPr>
              <w:t>owledge of Housi</w:t>
            </w:r>
            <w:r>
              <w:rPr>
                <w:rFonts w:ascii="Calibri" w:hAnsi="Calibri" w:cs="Calibri"/>
                <w:sz w:val="24"/>
                <w:szCs w:val="24"/>
              </w:rPr>
              <w:t>ng and Homelessness legislation</w:t>
            </w:r>
          </w:p>
          <w:p w14:paraId="310B6C30" w14:textId="4D6A8FFA" w:rsidR="00F87AE6" w:rsidRDefault="00F87AE6" w:rsidP="00F87AE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E424BED" w14:textId="0C2235BA" w:rsidR="00F87AE6" w:rsidRDefault="00F87AE6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70677872" w14:textId="77777777" w:rsidR="00F87AE6" w:rsidRDefault="00F87AE6" w:rsidP="00B3338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C8493D7" w14:textId="77777777" w:rsidR="00F87AE6" w:rsidRDefault="00F87AE6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52884A3" w14:textId="487C7996" w:rsidR="00F87AE6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7AE6" w14:paraId="7BE373BD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1C44170F" w14:textId="2616D79F" w:rsidR="00F87AE6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7B355F9B" w14:textId="46FCFE48" w:rsidR="00F87AE6" w:rsidRPr="00016465" w:rsidRDefault="00016465" w:rsidP="000164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ability to work in partnership with existing partners and develop new working relationships with external colleagues from both the </w:t>
            </w:r>
            <w:r w:rsidR="00F87AE6" w:rsidRPr="00D16D08">
              <w:t>voluntary and statutory</w:t>
            </w:r>
            <w:r>
              <w:t xml:space="preserve"> sectors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A1B040" w14:textId="2A9C032B" w:rsidR="00F87AE6" w:rsidRDefault="00F87AE6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AF3534D" w14:textId="475C2015" w:rsidR="00F87AE6" w:rsidRDefault="0030465C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3CF98D3" w14:textId="77777777" w:rsidR="00F87AE6" w:rsidRDefault="00F87AE6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E26A70E" w14:textId="63CFAC8C" w:rsidR="00F87AE6" w:rsidRDefault="00016465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3387" w14:paraId="143A1B50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0CE9DE3" w14:textId="555ABF29" w:rsidR="00B33387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018BE476" w14:textId="083E9E5F" w:rsidR="00B33387" w:rsidRPr="005B6646" w:rsidRDefault="00F87AE6" w:rsidP="00F87AE6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The ability to assess need and risk, whilst motivating people to identify and achieve their goals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EC831EB" w14:textId="09B64FDE" w:rsidR="00B33387" w:rsidRDefault="00B3338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1300746" w14:textId="33A772A9" w:rsidR="00B33387" w:rsidRDefault="005B21F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8C4B19B" w14:textId="5FD963EE" w:rsidR="00B33387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1" w:type="dxa"/>
          </w:tcPr>
          <w:p w14:paraId="7A93D407" w14:textId="4CB34553" w:rsidR="00B33387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76F1" w14:paraId="5C35C9FE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1C40DBC2" w14:textId="15645DEA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4C2DC557" w14:textId="77777777" w:rsidR="004B76F1" w:rsidRDefault="004B76F1" w:rsidP="004B76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Good working knowledge of benefits &amp; income maximisation </w:t>
            </w:r>
          </w:p>
          <w:p w14:paraId="7F3B6715" w14:textId="77777777" w:rsidR="004B76F1" w:rsidRPr="005B6646" w:rsidRDefault="004B76F1" w:rsidP="005B664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4EE8705" w14:textId="30729759" w:rsidR="004B76F1" w:rsidRDefault="00774F5E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DBE7DFD" w14:textId="57D22377" w:rsidR="004B76F1" w:rsidRDefault="005B21F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3FF45570" w14:textId="77777777" w:rsidR="004B76F1" w:rsidRDefault="004B76F1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B7E6D5A" w14:textId="476EEAAF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76F1" w14:paraId="784C7CCA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26B06227" w14:textId="1B35C2C1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57B23E72" w14:textId="63930BBA" w:rsidR="004B76F1" w:rsidRDefault="004B76F1" w:rsidP="004B76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ability to work positively with vulnerable people who may display challenging or difficult behaviour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1271CE" w14:textId="3724FA50" w:rsidR="004B76F1" w:rsidRDefault="00774F5E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AA4D63D" w14:textId="39E67C7C" w:rsidR="004B76F1" w:rsidRDefault="005B21F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0BB92F0" w14:textId="77777777" w:rsidR="004B76F1" w:rsidRDefault="004B76F1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700E48A" w14:textId="3078B9EC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76F1" w14:paraId="20D607BA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7DDACEE" w14:textId="787D13F7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6E40126E" w14:textId="3304A3EB" w:rsidR="00016465" w:rsidRPr="00016465" w:rsidRDefault="00C86B2A" w:rsidP="00016465">
            <w:pPr>
              <w:pStyle w:val="Default"/>
            </w:pPr>
            <w:r>
              <w:t>Experience of using a case managemen</w:t>
            </w:r>
            <w:r w:rsidR="0073238E">
              <w:t>t system to accurately record</w:t>
            </w:r>
            <w:r>
              <w:t xml:space="preserve"> case notes and observations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0FFC59" w14:textId="411ABD06" w:rsidR="004B76F1" w:rsidRDefault="00774F5E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F50BBE0" w14:textId="5F12BA1A" w:rsidR="004B76F1" w:rsidRDefault="005B21F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7744362C" w14:textId="77777777" w:rsidR="004B76F1" w:rsidRDefault="004B76F1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EDF1FDD" w14:textId="147631BA" w:rsidR="004B76F1" w:rsidRDefault="00016465" w:rsidP="00016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B76F1" w14:paraId="46AD7979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41258D1A" w14:textId="75B0549A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0EE7317E" w14:textId="77777777" w:rsidR="004B76F1" w:rsidRDefault="004B76F1" w:rsidP="004B76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Understanding of key safeguarding issues and processes </w:t>
            </w:r>
          </w:p>
          <w:p w14:paraId="58A2F5E3" w14:textId="77777777" w:rsidR="004B76F1" w:rsidRDefault="004B76F1" w:rsidP="004B76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BFDE54" w14:textId="39D255D6" w:rsidR="004B76F1" w:rsidRDefault="00774F5E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1C126B1" w14:textId="5A4278A3" w:rsidR="004B76F1" w:rsidRDefault="005B21F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09F6169E" w14:textId="1CF0478F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1" w:type="dxa"/>
          </w:tcPr>
          <w:p w14:paraId="40CE555C" w14:textId="3F91E7FB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76F1" w14:paraId="1B02FAAD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7787E988" w14:textId="07FA19B6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3417008A" w14:textId="4D780F63" w:rsidR="004B76F1" w:rsidRDefault="004F4701" w:rsidP="00F87AE6">
            <w:pPr>
              <w:pStyle w:val="Default"/>
              <w:tabs>
                <w:tab w:val="left" w:pos="2110"/>
              </w:tabs>
              <w:rPr>
                <w:sz w:val="23"/>
                <w:szCs w:val="23"/>
              </w:rPr>
            </w:pPr>
            <w:r w:rsidRPr="00774F5E">
              <w:rPr>
                <w:rFonts w:asciiTheme="minorHAnsi" w:hAnsiTheme="minorHAnsi" w:cstheme="minorHAnsi"/>
              </w:rPr>
              <w:t>A high level of written and verbal communication skills, including the ability to professionally challen</w:t>
            </w:r>
            <w:r w:rsidR="00F87AE6">
              <w:rPr>
                <w:rFonts w:asciiTheme="minorHAnsi" w:hAnsiTheme="minorHAnsi" w:cstheme="minorHAnsi"/>
              </w:rPr>
              <w:t>ge and/or advocate for clients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17C8AF7" w14:textId="5533D798" w:rsidR="004B76F1" w:rsidRDefault="00774F5E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1EC27F5" w14:textId="431AEC04" w:rsidR="004B76F1" w:rsidRDefault="005B21F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BC5B027" w14:textId="23576B2D" w:rsidR="004B76F1" w:rsidRDefault="004F4701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1" w:type="dxa"/>
          </w:tcPr>
          <w:p w14:paraId="1A03B351" w14:textId="10A04EA8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76F1" w14:paraId="32C2A245" w14:textId="77777777" w:rsidTr="00832CED">
        <w:tc>
          <w:tcPr>
            <w:tcW w:w="653" w:type="dxa"/>
            <w:shd w:val="clear" w:color="auto" w:fill="D9D9D9" w:themeFill="background1" w:themeFillShade="D9"/>
          </w:tcPr>
          <w:p w14:paraId="451E6EF9" w14:textId="20B9144A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3B942EE8" w14:textId="2D78B94C" w:rsidR="004B76F1" w:rsidRPr="004B76F1" w:rsidRDefault="00F87AE6" w:rsidP="00F87AE6">
            <w:pPr>
              <w:pStyle w:val="Default"/>
              <w:rPr>
                <w:sz w:val="23"/>
                <w:szCs w:val="23"/>
              </w:rPr>
            </w:pPr>
            <w:r w:rsidRPr="00643FC5">
              <w:t>The ability to work on your own initiative and manage multiple tasks within a pressured environment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D85C10" w14:textId="2F21140E" w:rsidR="004B76F1" w:rsidRDefault="00832CE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D50AD3A" w14:textId="13A293F4" w:rsidR="004B76F1" w:rsidRDefault="005B21F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B12549F" w14:textId="77777777" w:rsidR="004B76F1" w:rsidRDefault="004B76F1" w:rsidP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9454DB3" w14:textId="2C36C790" w:rsidR="004B76F1" w:rsidRDefault="005B21FD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7AE6" w14:paraId="5ED4B8D1" w14:textId="77777777" w:rsidTr="00774F5E">
        <w:tc>
          <w:tcPr>
            <w:tcW w:w="653" w:type="dxa"/>
            <w:shd w:val="clear" w:color="auto" w:fill="auto"/>
          </w:tcPr>
          <w:p w14:paraId="617143BB" w14:textId="774C250F" w:rsidR="00F87AE6" w:rsidRDefault="00832CED" w:rsidP="00F87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13" w:type="dxa"/>
            <w:shd w:val="clear" w:color="auto" w:fill="auto"/>
          </w:tcPr>
          <w:p w14:paraId="51403D5E" w14:textId="1DD248F5" w:rsidR="00F87AE6" w:rsidRPr="005B6646" w:rsidRDefault="00F87AE6" w:rsidP="00F87AE6">
            <w:pPr>
              <w:tabs>
                <w:tab w:val="center" w:pos="3248"/>
              </w:tabs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high-level commitment to and understanding of Equal Opportunities and the ability to counter discrimination</w:t>
            </w:r>
          </w:p>
        </w:tc>
        <w:tc>
          <w:tcPr>
            <w:tcW w:w="567" w:type="dxa"/>
            <w:shd w:val="clear" w:color="auto" w:fill="auto"/>
          </w:tcPr>
          <w:p w14:paraId="287F1039" w14:textId="54BA5A56" w:rsidR="00F87AE6" w:rsidRDefault="00F87AE6" w:rsidP="00F87A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9E22B7" w14:textId="7ADD3762" w:rsidR="00F87AE6" w:rsidRDefault="005B21FD" w:rsidP="00F87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3E500B8" w14:textId="77777777" w:rsidR="00F87AE6" w:rsidRDefault="00F87AE6" w:rsidP="00F87AE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26A68F50" w14:textId="2B153926" w:rsidR="00F87AE6" w:rsidRDefault="00F87AE6" w:rsidP="00F87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7AE6" w14:paraId="294FF626" w14:textId="77777777" w:rsidTr="00774F5E">
        <w:tc>
          <w:tcPr>
            <w:tcW w:w="653" w:type="dxa"/>
            <w:shd w:val="clear" w:color="auto" w:fill="auto"/>
          </w:tcPr>
          <w:p w14:paraId="643D03E3" w14:textId="3F36A9E9" w:rsidR="00F87AE6" w:rsidRDefault="00832CED" w:rsidP="00F87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13" w:type="dxa"/>
            <w:shd w:val="clear" w:color="auto" w:fill="auto"/>
          </w:tcPr>
          <w:p w14:paraId="13CAFCCD" w14:textId="3351D902" w:rsidR="00F87AE6" w:rsidRPr="005B6646" w:rsidRDefault="00F87AE6" w:rsidP="00F87AE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high-level commitment to ensuring that The Bridge (East Midlands) values are embedded in your day to day work</w:t>
            </w:r>
          </w:p>
        </w:tc>
        <w:tc>
          <w:tcPr>
            <w:tcW w:w="567" w:type="dxa"/>
            <w:shd w:val="clear" w:color="auto" w:fill="auto"/>
          </w:tcPr>
          <w:p w14:paraId="6D50F613" w14:textId="3226D336" w:rsidR="00F87AE6" w:rsidRDefault="00F87AE6" w:rsidP="00F87A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FD1A2E" w14:textId="783657C5" w:rsidR="00F87AE6" w:rsidRDefault="005B21FD" w:rsidP="00F87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C6B5C21" w14:textId="77777777" w:rsidR="00F87AE6" w:rsidRDefault="00F87AE6" w:rsidP="00F87AE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69E24A79" w14:textId="0FC22DE4" w:rsidR="00F87AE6" w:rsidRDefault="00F87AE6" w:rsidP="00F87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54FBDBD" w14:textId="5850F3FD" w:rsidR="00777EEC" w:rsidRDefault="00777EEC" w:rsidP="00777EEC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851"/>
        <w:gridCol w:w="2406"/>
        <w:gridCol w:w="2410"/>
        <w:gridCol w:w="992"/>
        <w:gridCol w:w="1415"/>
      </w:tblGrid>
      <w:tr w:rsidR="00C5284C" w14:paraId="1413D310" w14:textId="77777777" w:rsidTr="00C5284C">
        <w:tc>
          <w:tcPr>
            <w:tcW w:w="9628" w:type="dxa"/>
            <w:gridSpan w:val="6"/>
            <w:shd w:val="clear" w:color="auto" w:fill="BFBFBF" w:themeFill="background1" w:themeFillShade="BF"/>
          </w:tcPr>
          <w:p w14:paraId="5117AB4F" w14:textId="5B716463" w:rsidR="00C5284C" w:rsidRPr="00F86730" w:rsidRDefault="00F86730" w:rsidP="00777EEC">
            <w:pPr>
              <w:jc w:val="both"/>
              <w:rPr>
                <w:b/>
                <w:sz w:val="28"/>
              </w:rPr>
            </w:pPr>
            <w:r w:rsidRPr="00F86730">
              <w:rPr>
                <w:b/>
                <w:sz w:val="28"/>
              </w:rPr>
              <w:t>Document Control</w:t>
            </w:r>
          </w:p>
        </w:tc>
      </w:tr>
      <w:tr w:rsidR="00C5284C" w14:paraId="0AFA46C4" w14:textId="77777777" w:rsidTr="00C5284C">
        <w:tc>
          <w:tcPr>
            <w:tcW w:w="1555" w:type="dxa"/>
          </w:tcPr>
          <w:p w14:paraId="4ADFF4A2" w14:textId="682C5AA9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Prepared by</w:t>
            </w:r>
          </w:p>
        </w:tc>
        <w:tc>
          <w:tcPr>
            <w:tcW w:w="5670" w:type="dxa"/>
            <w:gridSpan w:val="3"/>
          </w:tcPr>
          <w:p w14:paraId="0CB8B748" w14:textId="7781B37A" w:rsidR="00C5284C" w:rsidRDefault="00745660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Molly Boggis</w:t>
            </w:r>
          </w:p>
        </w:tc>
        <w:tc>
          <w:tcPr>
            <w:tcW w:w="992" w:type="dxa"/>
          </w:tcPr>
          <w:p w14:paraId="255C0320" w14:textId="797B6758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Date</w:t>
            </w:r>
          </w:p>
        </w:tc>
        <w:tc>
          <w:tcPr>
            <w:tcW w:w="1411" w:type="dxa"/>
          </w:tcPr>
          <w:p w14:paraId="55F09E6B" w14:textId="0572FEC2" w:rsidR="00C5284C" w:rsidRDefault="00D650CB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08.05.2019</w:t>
            </w:r>
          </w:p>
        </w:tc>
      </w:tr>
      <w:tr w:rsidR="00C5284C" w14:paraId="724F3DD9" w14:textId="77777777" w:rsidTr="00C5284C">
        <w:tc>
          <w:tcPr>
            <w:tcW w:w="2407" w:type="dxa"/>
            <w:gridSpan w:val="2"/>
          </w:tcPr>
          <w:p w14:paraId="5213FEBD" w14:textId="5A03FEB5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QMS Document No.</w:t>
            </w:r>
          </w:p>
        </w:tc>
        <w:tc>
          <w:tcPr>
            <w:tcW w:w="2407" w:type="dxa"/>
          </w:tcPr>
          <w:p w14:paraId="64208C46" w14:textId="14B8385D" w:rsidR="00C5284C" w:rsidRDefault="00745660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HSS-HR-017</w:t>
            </w:r>
          </w:p>
        </w:tc>
        <w:tc>
          <w:tcPr>
            <w:tcW w:w="2407" w:type="dxa"/>
          </w:tcPr>
          <w:p w14:paraId="4FB23DAF" w14:textId="3957A053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Version</w:t>
            </w:r>
          </w:p>
        </w:tc>
        <w:tc>
          <w:tcPr>
            <w:tcW w:w="2407" w:type="dxa"/>
            <w:gridSpan w:val="2"/>
          </w:tcPr>
          <w:p w14:paraId="03F53DC4" w14:textId="06D756B6" w:rsidR="00C5284C" w:rsidRDefault="00D650CB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V3</w:t>
            </w:r>
            <w:r w:rsidR="00745660">
              <w:rPr>
                <w:sz w:val="24"/>
              </w:rPr>
              <w:t>.0</w:t>
            </w:r>
          </w:p>
        </w:tc>
      </w:tr>
    </w:tbl>
    <w:p w14:paraId="56A9409D" w14:textId="77777777" w:rsidR="00C5284C" w:rsidRPr="00801E5C" w:rsidRDefault="00C5284C" w:rsidP="00777EEC">
      <w:pPr>
        <w:spacing w:after="0"/>
        <w:jc w:val="both"/>
        <w:rPr>
          <w:sz w:val="24"/>
        </w:rPr>
      </w:pPr>
    </w:p>
    <w:sectPr w:rsidR="00C5284C" w:rsidRPr="00801E5C" w:rsidSect="00801E5C"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79D0" w14:textId="77777777" w:rsidR="00AA29D4" w:rsidRDefault="00AA29D4" w:rsidP="00801E5C">
      <w:pPr>
        <w:spacing w:after="0" w:line="240" w:lineRule="auto"/>
      </w:pPr>
      <w:r>
        <w:separator/>
      </w:r>
    </w:p>
  </w:endnote>
  <w:endnote w:type="continuationSeparator" w:id="0">
    <w:p w14:paraId="7C5E0586" w14:textId="77777777" w:rsidR="00AA29D4" w:rsidRDefault="00AA29D4" w:rsidP="0080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2998A" w14:textId="77777777" w:rsidR="00AA29D4" w:rsidRDefault="00AA29D4" w:rsidP="00801E5C">
      <w:pPr>
        <w:spacing w:after="0" w:line="240" w:lineRule="auto"/>
      </w:pPr>
      <w:r>
        <w:separator/>
      </w:r>
    </w:p>
  </w:footnote>
  <w:footnote w:type="continuationSeparator" w:id="0">
    <w:p w14:paraId="23F061E7" w14:textId="77777777" w:rsidR="00AA29D4" w:rsidRDefault="00AA29D4" w:rsidP="0080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10985" w14:textId="33056EE1" w:rsidR="00801E5C" w:rsidRDefault="00801E5C" w:rsidP="00E0006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7B8E05" wp14:editId="1C6010D3">
          <wp:extent cx="2118442" cy="984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Bridge Logo_TM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7" cy="994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E91"/>
    <w:multiLevelType w:val="hybridMultilevel"/>
    <w:tmpl w:val="BCC2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BCD"/>
    <w:multiLevelType w:val="hybridMultilevel"/>
    <w:tmpl w:val="924CF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2AC0"/>
    <w:multiLevelType w:val="hybridMultilevel"/>
    <w:tmpl w:val="A88EE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623"/>
    <w:multiLevelType w:val="hybridMultilevel"/>
    <w:tmpl w:val="D9EEF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0DB1"/>
    <w:multiLevelType w:val="hybridMultilevel"/>
    <w:tmpl w:val="F4E0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C0"/>
    <w:rsid w:val="00016465"/>
    <w:rsid w:val="000A4E01"/>
    <w:rsid w:val="000B4C2A"/>
    <w:rsid w:val="001817D3"/>
    <w:rsid w:val="001E1A8D"/>
    <w:rsid w:val="002A08A0"/>
    <w:rsid w:val="0030465C"/>
    <w:rsid w:val="003C66F4"/>
    <w:rsid w:val="004B76F1"/>
    <w:rsid w:val="004E172B"/>
    <w:rsid w:val="004F35D5"/>
    <w:rsid w:val="004F4701"/>
    <w:rsid w:val="00513CE7"/>
    <w:rsid w:val="00584499"/>
    <w:rsid w:val="0058705B"/>
    <w:rsid w:val="005B1240"/>
    <w:rsid w:val="005B21FD"/>
    <w:rsid w:val="005B6646"/>
    <w:rsid w:val="00623669"/>
    <w:rsid w:val="0073238E"/>
    <w:rsid w:val="00745660"/>
    <w:rsid w:val="007558B7"/>
    <w:rsid w:val="00774F5E"/>
    <w:rsid w:val="00777EEC"/>
    <w:rsid w:val="00801E5C"/>
    <w:rsid w:val="00832CED"/>
    <w:rsid w:val="00854840"/>
    <w:rsid w:val="008D5593"/>
    <w:rsid w:val="008F50FB"/>
    <w:rsid w:val="009E1E33"/>
    <w:rsid w:val="00A72E24"/>
    <w:rsid w:val="00AA29D4"/>
    <w:rsid w:val="00AE7E1E"/>
    <w:rsid w:val="00B240E9"/>
    <w:rsid w:val="00B33387"/>
    <w:rsid w:val="00BA4D0F"/>
    <w:rsid w:val="00BF5D62"/>
    <w:rsid w:val="00C5284C"/>
    <w:rsid w:val="00C86B2A"/>
    <w:rsid w:val="00C967AF"/>
    <w:rsid w:val="00CC1713"/>
    <w:rsid w:val="00D650CB"/>
    <w:rsid w:val="00E00068"/>
    <w:rsid w:val="00F035B6"/>
    <w:rsid w:val="00F173C0"/>
    <w:rsid w:val="00F86730"/>
    <w:rsid w:val="00F87AE6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B42CF9"/>
  <w15:chartTrackingRefBased/>
  <w15:docId w15:val="{B2F726F3-5135-46FF-9589-7EAD809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5C"/>
  </w:style>
  <w:style w:type="paragraph" w:styleId="Footer">
    <w:name w:val="footer"/>
    <w:basedOn w:val="Normal"/>
    <w:link w:val="Foot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5C"/>
  </w:style>
  <w:style w:type="table" w:styleId="TableGrid">
    <w:name w:val="Table Grid"/>
    <w:basedOn w:val="TableNormal"/>
    <w:uiPriority w:val="39"/>
    <w:rsid w:val="0080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EEC"/>
    <w:pPr>
      <w:ind w:left="720"/>
      <w:contextualSpacing/>
    </w:pPr>
  </w:style>
  <w:style w:type="paragraph" w:customStyle="1" w:styleId="t1">
    <w:name w:val="t1"/>
    <w:basedOn w:val="Normal"/>
    <w:rsid w:val="005B6646"/>
    <w:pPr>
      <w:widowControl w:val="0"/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B7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74B4680660545BEF0F72819BBF548" ma:contentTypeVersion="12" ma:contentTypeDescription="Create a new document." ma:contentTypeScope="" ma:versionID="e20d63c44ddf2501594e4b8f5ae104cd">
  <xsd:schema xmlns:xsd="http://www.w3.org/2001/XMLSchema" xmlns:xs="http://www.w3.org/2001/XMLSchema" xmlns:p="http://schemas.microsoft.com/office/2006/metadata/properties" xmlns:ns2="8be8e954-a1db-433d-94e2-105db6c6d966" xmlns:ns3="6a613239-d17a-4dd0-877c-4d8cae69b065" targetNamespace="http://schemas.microsoft.com/office/2006/metadata/properties" ma:root="true" ma:fieldsID="30aee64af66948e9e3c175eb134a4d13" ns2:_="" ns3:_="">
    <xsd:import namespace="8be8e954-a1db-433d-94e2-105db6c6d966"/>
    <xsd:import namespace="6a613239-d17a-4dd0-877c-4d8cae69b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e954-a1db-433d-94e2-105db6c6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239-d17a-4dd0-877c-4d8cae69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EC4B-75BA-4DEF-9E58-21C2C1DB3FC7}">
  <ds:schemaRefs>
    <ds:schemaRef ds:uri="http://schemas.microsoft.com/office/infopath/2007/PartnerControls"/>
    <ds:schemaRef ds:uri="http://purl.org/dc/elements/1.1/"/>
    <ds:schemaRef ds:uri="fe1edf3b-d3b1-4ffb-9e7c-b98c31911014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be8e954-a1db-433d-94e2-105db6c6d9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A7CB6B-C089-4857-B393-C3B15DC7BFFC}"/>
</file>

<file path=customXml/itemProps3.xml><?xml version="1.0" encoding="utf-8"?>
<ds:datastoreItem xmlns:ds="http://schemas.openxmlformats.org/officeDocument/2006/customXml" ds:itemID="{26F9D34C-6FC0-40E2-B7ED-2F12E7E02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DF2A4-0229-46C2-A729-926E4658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Snape</dc:creator>
  <cp:keywords/>
  <dc:description/>
  <cp:lastModifiedBy>Molly Boggis</cp:lastModifiedBy>
  <cp:revision>11</cp:revision>
  <cp:lastPrinted>2019-05-08T14:19:00Z</cp:lastPrinted>
  <dcterms:created xsi:type="dcterms:W3CDTF">2018-12-04T08:41:00Z</dcterms:created>
  <dcterms:modified xsi:type="dcterms:W3CDTF">2019-06-19T16:10:00Z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0x01010096A74B4680660545BEF0F72819BBF548</vt:lpwstr>
  </property>
</Properties>
</file>