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CCBC0" w14:textId="77777777" w:rsidR="001E1A8D" w:rsidRPr="00801E5C" w:rsidRDefault="001E1A8D" w:rsidP="001E1A8D">
      <w:pPr>
        <w:spacing w:after="0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01E5C" w14:paraId="1994A0DD" w14:textId="77777777" w:rsidTr="00801E5C">
        <w:tc>
          <w:tcPr>
            <w:tcW w:w="9628" w:type="dxa"/>
            <w:gridSpan w:val="2"/>
            <w:shd w:val="clear" w:color="auto" w:fill="BFBFBF" w:themeFill="background1" w:themeFillShade="BF"/>
          </w:tcPr>
          <w:p w14:paraId="08B16C4E" w14:textId="77777777" w:rsidR="00801E5C" w:rsidRDefault="00C5284C" w:rsidP="00F86730">
            <w:pPr>
              <w:jc w:val="both"/>
            </w:pPr>
            <w:r>
              <w:rPr>
                <w:b/>
                <w:sz w:val="32"/>
              </w:rPr>
              <w:t>Job Profile</w:t>
            </w:r>
          </w:p>
        </w:tc>
      </w:tr>
      <w:tr w:rsidR="00801E5C" w14:paraId="198B3D94" w14:textId="77777777" w:rsidTr="00960C2C">
        <w:tc>
          <w:tcPr>
            <w:tcW w:w="2405" w:type="dxa"/>
            <w:shd w:val="clear" w:color="auto" w:fill="D9D9D9" w:themeFill="background1" w:themeFillShade="D9"/>
          </w:tcPr>
          <w:p w14:paraId="75EBFE6C" w14:textId="77777777" w:rsidR="00801E5C" w:rsidRPr="00801E5C" w:rsidRDefault="00F86730" w:rsidP="00801E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Job Title</w:t>
            </w:r>
          </w:p>
        </w:tc>
        <w:tc>
          <w:tcPr>
            <w:tcW w:w="7223" w:type="dxa"/>
            <w:shd w:val="clear" w:color="auto" w:fill="auto"/>
          </w:tcPr>
          <w:p w14:paraId="798C61A7" w14:textId="77777777" w:rsidR="00801E5C" w:rsidRPr="00F86730" w:rsidRDefault="00BD575D" w:rsidP="003C567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Housing Support Worker</w:t>
            </w:r>
          </w:p>
        </w:tc>
      </w:tr>
      <w:tr w:rsidR="00F86730" w14:paraId="60F4DFD0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0DC61EA0" w14:textId="77777777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Hours per Week</w:t>
            </w:r>
          </w:p>
        </w:tc>
        <w:tc>
          <w:tcPr>
            <w:tcW w:w="7223" w:type="dxa"/>
          </w:tcPr>
          <w:p w14:paraId="04919B06" w14:textId="38A54F92" w:rsidR="00F86730" w:rsidRDefault="005F476B" w:rsidP="005F476B">
            <w:pPr>
              <w:rPr>
                <w:sz w:val="28"/>
              </w:rPr>
            </w:pPr>
            <w:r>
              <w:rPr>
                <w:sz w:val="28"/>
              </w:rPr>
              <w:t>37 or 21.5 (Fixed term until 31</w:t>
            </w:r>
            <w:r w:rsidRPr="005F476B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March 2020)</w:t>
            </w:r>
          </w:p>
        </w:tc>
      </w:tr>
      <w:tr w:rsidR="00F86730" w14:paraId="2E040EF5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2D3B15F7" w14:textId="77777777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Salary</w:t>
            </w:r>
          </w:p>
        </w:tc>
        <w:tc>
          <w:tcPr>
            <w:tcW w:w="7223" w:type="dxa"/>
          </w:tcPr>
          <w:p w14:paraId="4EC671AE" w14:textId="7D1BD160" w:rsidR="00F86730" w:rsidRPr="00801E5C" w:rsidRDefault="00572372" w:rsidP="00BD575D">
            <w:pPr>
              <w:rPr>
                <w:sz w:val="28"/>
              </w:rPr>
            </w:pPr>
            <w:r>
              <w:rPr>
                <w:sz w:val="28"/>
              </w:rPr>
              <w:t>Up to</w:t>
            </w:r>
            <w:r w:rsidR="00BE3932">
              <w:rPr>
                <w:sz w:val="28"/>
              </w:rPr>
              <w:t xml:space="preserve"> £</w:t>
            </w:r>
            <w:r w:rsidR="005F476B">
              <w:rPr>
                <w:sz w:val="28"/>
              </w:rPr>
              <w:t>19,782</w:t>
            </w:r>
            <w:r w:rsidR="00FC5A59">
              <w:rPr>
                <w:sz w:val="28"/>
              </w:rPr>
              <w:t xml:space="preserve"> </w:t>
            </w:r>
            <w:r w:rsidR="00F86730">
              <w:rPr>
                <w:sz w:val="28"/>
              </w:rPr>
              <w:t>FTE (dependent upon experience)</w:t>
            </w:r>
          </w:p>
        </w:tc>
      </w:tr>
      <w:tr w:rsidR="00F86730" w14:paraId="247DAE6E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6CBE924F" w14:textId="77777777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Responsible to</w:t>
            </w:r>
          </w:p>
        </w:tc>
        <w:tc>
          <w:tcPr>
            <w:tcW w:w="7223" w:type="dxa"/>
          </w:tcPr>
          <w:p w14:paraId="65FFE193" w14:textId="58AF70F9" w:rsidR="00F86730" w:rsidRPr="00801E5C" w:rsidRDefault="005F476B" w:rsidP="00F86730">
            <w:pPr>
              <w:rPr>
                <w:sz w:val="28"/>
              </w:rPr>
            </w:pPr>
            <w:r>
              <w:rPr>
                <w:sz w:val="28"/>
              </w:rPr>
              <w:t>Support Services Team Manager</w:t>
            </w:r>
          </w:p>
        </w:tc>
      </w:tr>
      <w:tr w:rsidR="00F86730" w14:paraId="4DBF6E9C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04996644" w14:textId="77777777" w:rsidR="00F86730" w:rsidRPr="00801E5C" w:rsidRDefault="00F86730" w:rsidP="00F86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Service/Team</w:t>
            </w:r>
          </w:p>
        </w:tc>
        <w:tc>
          <w:tcPr>
            <w:tcW w:w="7223" w:type="dxa"/>
          </w:tcPr>
          <w:p w14:paraId="0BF4E9F1" w14:textId="77777777" w:rsidR="00F86730" w:rsidRDefault="00BD575D" w:rsidP="00F86730">
            <w:pPr>
              <w:rPr>
                <w:sz w:val="28"/>
              </w:rPr>
            </w:pPr>
            <w:r>
              <w:rPr>
                <w:sz w:val="28"/>
              </w:rPr>
              <w:t>Support Services Team</w:t>
            </w:r>
          </w:p>
        </w:tc>
      </w:tr>
      <w:tr w:rsidR="00F86730" w14:paraId="4461FDAA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44032905" w14:textId="77777777" w:rsidR="00F86730" w:rsidRDefault="00F86730" w:rsidP="00F86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Job Number</w:t>
            </w:r>
          </w:p>
        </w:tc>
        <w:tc>
          <w:tcPr>
            <w:tcW w:w="7223" w:type="dxa"/>
          </w:tcPr>
          <w:p w14:paraId="48497032" w14:textId="2BBD7EC6" w:rsidR="00F86730" w:rsidRDefault="000E1756" w:rsidP="00BD575D">
            <w:pPr>
              <w:rPr>
                <w:sz w:val="28"/>
              </w:rPr>
            </w:pPr>
            <w:r>
              <w:rPr>
                <w:sz w:val="28"/>
              </w:rPr>
              <w:t>HSS</w:t>
            </w:r>
            <w:r w:rsidR="003C66F4">
              <w:rPr>
                <w:sz w:val="28"/>
              </w:rPr>
              <w:t>-</w:t>
            </w:r>
            <w:r w:rsidR="001E1A8D">
              <w:rPr>
                <w:sz w:val="28"/>
              </w:rPr>
              <w:t>HR</w:t>
            </w:r>
            <w:r w:rsidR="005A2D8A">
              <w:rPr>
                <w:sz w:val="28"/>
              </w:rPr>
              <w:t>-</w:t>
            </w:r>
            <w:r w:rsidR="00366C48">
              <w:rPr>
                <w:sz w:val="28"/>
              </w:rPr>
              <w:t>0</w:t>
            </w:r>
            <w:r w:rsidR="00AC7185">
              <w:rPr>
                <w:sz w:val="28"/>
              </w:rPr>
              <w:t>1</w:t>
            </w:r>
            <w:r w:rsidR="00366C48">
              <w:rPr>
                <w:sz w:val="28"/>
              </w:rPr>
              <w:t>3</w:t>
            </w:r>
          </w:p>
        </w:tc>
      </w:tr>
      <w:tr w:rsidR="00F86730" w14:paraId="2007EFB7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7E4D31E1" w14:textId="77777777" w:rsidR="00F86730" w:rsidRDefault="00F86730" w:rsidP="00F86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Base/Location</w:t>
            </w:r>
          </w:p>
        </w:tc>
        <w:tc>
          <w:tcPr>
            <w:tcW w:w="7223" w:type="dxa"/>
          </w:tcPr>
          <w:p w14:paraId="727F7DBF" w14:textId="77777777" w:rsidR="00F86730" w:rsidRDefault="000E1756" w:rsidP="00F86730">
            <w:pPr>
              <w:rPr>
                <w:sz w:val="28"/>
              </w:rPr>
            </w:pPr>
            <w:r>
              <w:rPr>
                <w:sz w:val="28"/>
              </w:rPr>
              <w:t>38 Leicester Road, Loughborough, LE11 2AG</w:t>
            </w:r>
          </w:p>
        </w:tc>
      </w:tr>
    </w:tbl>
    <w:p w14:paraId="6B840589" w14:textId="77777777" w:rsidR="00801E5C" w:rsidRDefault="00801E5C" w:rsidP="00801E5C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E5C" w14:paraId="0CCEC546" w14:textId="77777777" w:rsidTr="00801E5C">
        <w:tc>
          <w:tcPr>
            <w:tcW w:w="9628" w:type="dxa"/>
            <w:shd w:val="clear" w:color="auto" w:fill="BFBFBF" w:themeFill="background1" w:themeFillShade="BF"/>
          </w:tcPr>
          <w:p w14:paraId="42D5529A" w14:textId="77777777" w:rsidR="00801E5C" w:rsidRDefault="00801E5C" w:rsidP="00F86730">
            <w:pPr>
              <w:jc w:val="both"/>
              <w:rPr>
                <w:sz w:val="24"/>
              </w:rPr>
            </w:pPr>
            <w:r w:rsidRPr="00801E5C">
              <w:rPr>
                <w:b/>
                <w:sz w:val="28"/>
              </w:rPr>
              <w:t>Job Purpose</w:t>
            </w:r>
          </w:p>
        </w:tc>
      </w:tr>
      <w:tr w:rsidR="00801E5C" w14:paraId="1FC48716" w14:textId="77777777" w:rsidTr="00801E5C">
        <w:tc>
          <w:tcPr>
            <w:tcW w:w="9628" w:type="dxa"/>
          </w:tcPr>
          <w:p w14:paraId="4E1F3F19" w14:textId="0B588B20" w:rsidR="00801E5C" w:rsidRPr="005A2D8A" w:rsidRDefault="00BD575D" w:rsidP="003F0612">
            <w:pPr>
              <w:ind w:right="44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21B1E">
              <w:rPr>
                <w:sz w:val="24"/>
                <w:szCs w:val="24"/>
              </w:rPr>
              <w:t xml:space="preserve">To provide an effective Housing Support Service for resettled ex-homeless </w:t>
            </w:r>
            <w:r w:rsidR="009D6F8A">
              <w:rPr>
                <w:sz w:val="24"/>
                <w:szCs w:val="24"/>
              </w:rPr>
              <w:t>people</w:t>
            </w:r>
            <w:r w:rsidRPr="00121B1E">
              <w:rPr>
                <w:sz w:val="24"/>
                <w:szCs w:val="24"/>
              </w:rPr>
              <w:t xml:space="preserve"> and those who are vulnerably housed within the County of Leicestershire. The aim is to prevent the cycle of repeat homeles</w:t>
            </w:r>
            <w:r w:rsidR="009D6F8A">
              <w:rPr>
                <w:sz w:val="24"/>
                <w:szCs w:val="24"/>
              </w:rPr>
              <w:t>sness, by equipping vulnerable people</w:t>
            </w:r>
            <w:r w:rsidRPr="00121B1E">
              <w:rPr>
                <w:sz w:val="24"/>
                <w:szCs w:val="24"/>
              </w:rPr>
              <w:t xml:space="preserve"> to live independently in their own homes.  </w:t>
            </w:r>
            <w:r w:rsidR="009D6F8A">
              <w:rPr>
                <w:sz w:val="24"/>
                <w:szCs w:val="24"/>
              </w:rPr>
              <w:t>The post holder will need access to their own transport to enable them to travel extensively across Leicestershire.</w:t>
            </w:r>
          </w:p>
        </w:tc>
      </w:tr>
    </w:tbl>
    <w:p w14:paraId="517F2B23" w14:textId="77777777" w:rsidR="00801E5C" w:rsidRDefault="00771CAB" w:rsidP="00771CAB">
      <w:pPr>
        <w:tabs>
          <w:tab w:val="left" w:pos="333"/>
        </w:tabs>
        <w:spacing w:after="0"/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E5C" w14:paraId="14C2B56D" w14:textId="77777777" w:rsidTr="00813A45">
        <w:tc>
          <w:tcPr>
            <w:tcW w:w="9628" w:type="dxa"/>
            <w:shd w:val="clear" w:color="auto" w:fill="BFBFBF" w:themeFill="background1" w:themeFillShade="BF"/>
          </w:tcPr>
          <w:p w14:paraId="16A6B6E2" w14:textId="77777777" w:rsidR="00801E5C" w:rsidRDefault="00C5284C" w:rsidP="00F86730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t>Main Duties and Responsibilities</w:t>
            </w:r>
          </w:p>
        </w:tc>
      </w:tr>
      <w:tr w:rsidR="00777EEC" w14:paraId="5B30EF8C" w14:textId="77777777" w:rsidTr="00777EEC">
        <w:tc>
          <w:tcPr>
            <w:tcW w:w="9628" w:type="dxa"/>
            <w:shd w:val="clear" w:color="auto" w:fill="D9D9D9" w:themeFill="background1" w:themeFillShade="D9"/>
          </w:tcPr>
          <w:p w14:paraId="0CB6C85A" w14:textId="77777777" w:rsidR="00777EEC" w:rsidRPr="00777EEC" w:rsidRDefault="00BD575D" w:rsidP="00F867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Housing Support Worker</w:t>
            </w:r>
            <w:r w:rsidR="00D3656C">
              <w:rPr>
                <w:b/>
                <w:sz w:val="24"/>
              </w:rPr>
              <w:t xml:space="preserve"> </w:t>
            </w:r>
            <w:r w:rsidR="00777EEC" w:rsidRPr="00777EEC">
              <w:rPr>
                <w:b/>
                <w:sz w:val="24"/>
              </w:rPr>
              <w:t>Responsibilities</w:t>
            </w:r>
          </w:p>
        </w:tc>
      </w:tr>
      <w:tr w:rsidR="00777EEC" w14:paraId="00127A0F" w14:textId="77777777" w:rsidTr="00777EEC">
        <w:tc>
          <w:tcPr>
            <w:tcW w:w="9628" w:type="dxa"/>
          </w:tcPr>
          <w:p w14:paraId="7F62B94E" w14:textId="77777777" w:rsidR="002A18FA" w:rsidRDefault="00BD575D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 xml:space="preserve">To support </w:t>
            </w:r>
            <w:r w:rsidR="009D6F8A">
              <w:rPr>
                <w:sz w:val="24"/>
                <w:szCs w:val="24"/>
              </w:rPr>
              <w:t xml:space="preserve">single, </w:t>
            </w:r>
            <w:r w:rsidRPr="002A18FA">
              <w:rPr>
                <w:sz w:val="24"/>
                <w:szCs w:val="24"/>
              </w:rPr>
              <w:t xml:space="preserve">homeless </w:t>
            </w:r>
            <w:r w:rsidR="009D6F8A">
              <w:rPr>
                <w:sz w:val="24"/>
                <w:szCs w:val="24"/>
              </w:rPr>
              <w:t>clients</w:t>
            </w:r>
            <w:r w:rsidRPr="002A18FA">
              <w:rPr>
                <w:sz w:val="24"/>
                <w:szCs w:val="24"/>
              </w:rPr>
              <w:t xml:space="preserve"> to move into independent accommodation, including those moving o</w:t>
            </w:r>
            <w:r w:rsidR="00121B1E">
              <w:rPr>
                <w:sz w:val="24"/>
                <w:szCs w:val="24"/>
              </w:rPr>
              <w:t>n from supported accommodation</w:t>
            </w:r>
          </w:p>
          <w:p w14:paraId="096BD150" w14:textId="77777777" w:rsidR="002A18FA" w:rsidRDefault="009D6F8A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Helping people</w:t>
            </w:r>
            <w:r w:rsidR="00BD575D" w:rsidRPr="002A18FA">
              <w:rPr>
                <w:sz w:val="24"/>
                <w:szCs w:val="24"/>
              </w:rPr>
              <w:t xml:space="preserve"> with the process and practicalities of </w:t>
            </w:r>
            <w:r w:rsidR="00121B1E">
              <w:rPr>
                <w:sz w:val="24"/>
                <w:szCs w:val="24"/>
              </w:rPr>
              <w:t>moving, plus related paperwork</w:t>
            </w:r>
          </w:p>
          <w:p w14:paraId="084993CD" w14:textId="77777777" w:rsidR="00BD575D" w:rsidRPr="002A18FA" w:rsidRDefault="00BD575D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 xml:space="preserve">To provide housing related floating support to </w:t>
            </w:r>
            <w:r w:rsidR="009D6F8A">
              <w:rPr>
                <w:sz w:val="24"/>
                <w:szCs w:val="24"/>
              </w:rPr>
              <w:t>clients</w:t>
            </w:r>
            <w:r w:rsidRPr="002A18FA">
              <w:rPr>
                <w:sz w:val="24"/>
                <w:szCs w:val="24"/>
              </w:rPr>
              <w:t xml:space="preserve"> </w:t>
            </w:r>
            <w:r w:rsidR="002A18FA">
              <w:rPr>
                <w:sz w:val="24"/>
                <w:szCs w:val="24"/>
              </w:rPr>
              <w:t>who are vulnerably housed or at risk of eviction from</w:t>
            </w:r>
            <w:r w:rsidRPr="002A18FA">
              <w:rPr>
                <w:sz w:val="24"/>
                <w:szCs w:val="24"/>
              </w:rPr>
              <w:t xml:space="preserve"> their </w:t>
            </w:r>
            <w:r w:rsidR="002A18FA">
              <w:rPr>
                <w:sz w:val="24"/>
                <w:szCs w:val="24"/>
              </w:rPr>
              <w:t>home,</w:t>
            </w:r>
            <w:r w:rsidRPr="002A18FA">
              <w:rPr>
                <w:sz w:val="24"/>
                <w:szCs w:val="24"/>
              </w:rPr>
              <w:t xml:space="preserve"> </w:t>
            </w:r>
            <w:r w:rsidR="00121B1E">
              <w:rPr>
                <w:sz w:val="24"/>
                <w:szCs w:val="24"/>
              </w:rPr>
              <w:t>in the County of Leicestershire</w:t>
            </w:r>
            <w:r w:rsidRPr="002A18FA">
              <w:rPr>
                <w:sz w:val="24"/>
                <w:szCs w:val="24"/>
              </w:rPr>
              <w:t xml:space="preserve">  </w:t>
            </w:r>
          </w:p>
          <w:p w14:paraId="09B7D99F" w14:textId="77777777" w:rsidR="002A18FA" w:rsidRDefault="00BD575D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 xml:space="preserve">To assess the needs of </w:t>
            </w:r>
            <w:r w:rsidR="009D6F8A">
              <w:rPr>
                <w:sz w:val="24"/>
                <w:szCs w:val="24"/>
              </w:rPr>
              <w:t>clients</w:t>
            </w:r>
            <w:r w:rsidR="009D6F8A" w:rsidRPr="002A18FA">
              <w:rPr>
                <w:sz w:val="24"/>
                <w:szCs w:val="24"/>
              </w:rPr>
              <w:t xml:space="preserve"> </w:t>
            </w:r>
            <w:r w:rsidRPr="002A18FA">
              <w:rPr>
                <w:sz w:val="24"/>
                <w:szCs w:val="24"/>
              </w:rPr>
              <w:t xml:space="preserve">referred </w:t>
            </w:r>
            <w:r w:rsidR="002A18FA">
              <w:rPr>
                <w:sz w:val="24"/>
                <w:szCs w:val="24"/>
              </w:rPr>
              <w:t xml:space="preserve">to the Housing Matters Service </w:t>
            </w:r>
            <w:r w:rsidRPr="002A18FA">
              <w:rPr>
                <w:sz w:val="24"/>
                <w:szCs w:val="24"/>
              </w:rPr>
              <w:t>and involve</w:t>
            </w:r>
            <w:r w:rsidR="00121B1E">
              <w:rPr>
                <w:sz w:val="24"/>
                <w:szCs w:val="24"/>
              </w:rPr>
              <w:t xml:space="preserve"> them in making a support plan</w:t>
            </w:r>
          </w:p>
          <w:p w14:paraId="6D245A70" w14:textId="77777777" w:rsidR="002A18FA" w:rsidRDefault="00BD575D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>To undertake reg</w:t>
            </w:r>
            <w:r w:rsidR="002A18FA">
              <w:rPr>
                <w:sz w:val="24"/>
                <w:szCs w:val="24"/>
              </w:rPr>
              <w:t>ular reviews of action p</w:t>
            </w:r>
            <w:r w:rsidR="00121B1E">
              <w:rPr>
                <w:sz w:val="24"/>
                <w:szCs w:val="24"/>
              </w:rPr>
              <w:t>lans and targets with clients</w:t>
            </w:r>
          </w:p>
          <w:p w14:paraId="26AE64F0" w14:textId="77777777" w:rsidR="00BD575D" w:rsidRPr="002A18FA" w:rsidRDefault="00BD575D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>To conduct, and regularly review, risk assessments</w:t>
            </w:r>
            <w:r w:rsidR="002A18FA">
              <w:rPr>
                <w:sz w:val="24"/>
                <w:szCs w:val="24"/>
              </w:rPr>
              <w:t xml:space="preserve"> with clients</w:t>
            </w:r>
            <w:r w:rsidRPr="002A18FA">
              <w:rPr>
                <w:sz w:val="24"/>
                <w:szCs w:val="24"/>
              </w:rPr>
              <w:t xml:space="preserve">  </w:t>
            </w:r>
          </w:p>
          <w:p w14:paraId="0B63148C" w14:textId="77777777" w:rsidR="00BD575D" w:rsidRPr="002A18FA" w:rsidRDefault="00BD575D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 xml:space="preserve">To provide support around improving life skills of vulnerable </w:t>
            </w:r>
            <w:r w:rsidR="009D6F8A">
              <w:rPr>
                <w:sz w:val="24"/>
                <w:szCs w:val="24"/>
              </w:rPr>
              <w:t>clients</w:t>
            </w:r>
            <w:r w:rsidRPr="002A18FA">
              <w:rPr>
                <w:sz w:val="24"/>
                <w:szCs w:val="24"/>
              </w:rPr>
              <w:t>, for example, budgeting, making meal plans, dealing with correspond</w:t>
            </w:r>
            <w:r w:rsidR="00121B1E">
              <w:rPr>
                <w:sz w:val="24"/>
                <w:szCs w:val="24"/>
              </w:rPr>
              <w:t>ence and managing rent payments</w:t>
            </w:r>
            <w:r w:rsidRPr="002A18FA">
              <w:rPr>
                <w:sz w:val="24"/>
                <w:szCs w:val="24"/>
              </w:rPr>
              <w:t xml:space="preserve">  </w:t>
            </w:r>
          </w:p>
          <w:p w14:paraId="7317EBAA" w14:textId="77777777" w:rsidR="00BD575D" w:rsidRDefault="00BD575D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 xml:space="preserve">To work with clients to maximise their income through benefit uptake, helping them to organise manageable repayments of their debts, returning to employment and charity applications for </w:t>
            </w:r>
            <w:r w:rsidR="00121B1E">
              <w:rPr>
                <w:sz w:val="24"/>
                <w:szCs w:val="24"/>
              </w:rPr>
              <w:t>essential items</w:t>
            </w:r>
          </w:p>
          <w:p w14:paraId="77B8CA6C" w14:textId="77777777" w:rsidR="009D6F8A" w:rsidRPr="002A18FA" w:rsidRDefault="009D6F8A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deliver group work with clients around issues such as budgeting, healthy eating, financial capability and managing a tenancy.</w:t>
            </w:r>
          </w:p>
          <w:p w14:paraId="073A8035" w14:textId="77777777" w:rsidR="00BD575D" w:rsidRPr="002A18FA" w:rsidRDefault="00BD575D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>To support clients in making plans for their future e.g. accessing training or education, work experienc</w:t>
            </w:r>
            <w:r w:rsidR="00121B1E">
              <w:rPr>
                <w:sz w:val="24"/>
                <w:szCs w:val="24"/>
              </w:rPr>
              <w:t>e or volunteering opportunities</w:t>
            </w:r>
            <w:r w:rsidRPr="002A18FA">
              <w:rPr>
                <w:sz w:val="24"/>
                <w:szCs w:val="24"/>
              </w:rPr>
              <w:t xml:space="preserve">   </w:t>
            </w:r>
          </w:p>
          <w:p w14:paraId="6A55252D" w14:textId="77777777" w:rsidR="00BD575D" w:rsidRPr="002A18FA" w:rsidRDefault="00BD575D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>To support clients to overcome barriers causing social isolation, encouraging access to community gr</w:t>
            </w:r>
            <w:r w:rsidR="00121B1E">
              <w:rPr>
                <w:sz w:val="24"/>
                <w:szCs w:val="24"/>
              </w:rPr>
              <w:t>oups and recreational facilities</w:t>
            </w:r>
            <w:r w:rsidRPr="002A18FA">
              <w:rPr>
                <w:sz w:val="24"/>
                <w:szCs w:val="24"/>
              </w:rPr>
              <w:t xml:space="preserve">  </w:t>
            </w:r>
          </w:p>
          <w:p w14:paraId="5F802AD4" w14:textId="77777777" w:rsidR="00BD575D" w:rsidRPr="002A18FA" w:rsidRDefault="00BD575D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 xml:space="preserve">To offer drop in sessions for clients in the borough/district localities in Leicestershire   </w:t>
            </w:r>
          </w:p>
          <w:p w14:paraId="52F7EE0B" w14:textId="77777777" w:rsidR="00BD575D" w:rsidRPr="002A18FA" w:rsidRDefault="00BD575D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lastRenderedPageBreak/>
              <w:t>To work effectively with other specialist agencies to meet any additional needs of the family. This involves identifying and making appropriate referrals, liaising with other agencies and ensuring the family is a</w:t>
            </w:r>
            <w:r w:rsidR="00121B1E">
              <w:rPr>
                <w:sz w:val="24"/>
                <w:szCs w:val="24"/>
              </w:rPr>
              <w:t>ble to access these services</w:t>
            </w:r>
          </w:p>
          <w:p w14:paraId="0C73EC79" w14:textId="77777777" w:rsidR="00BD575D" w:rsidRPr="002A18FA" w:rsidRDefault="00BD575D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>Researching and keeping up to date information about community resources/agencies t</w:t>
            </w:r>
            <w:r w:rsidR="00121B1E">
              <w:rPr>
                <w:sz w:val="24"/>
                <w:szCs w:val="24"/>
              </w:rPr>
              <w:t>hat clients may benefit from</w:t>
            </w:r>
          </w:p>
          <w:p w14:paraId="56439494" w14:textId="77777777" w:rsidR="00BD575D" w:rsidRPr="002A18FA" w:rsidRDefault="00BD575D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>A commitment to involving clients in developing the Support Service</w:t>
            </w:r>
            <w:r w:rsidR="00121B1E">
              <w:rPr>
                <w:sz w:val="24"/>
                <w:szCs w:val="24"/>
              </w:rPr>
              <w:t>s</w:t>
            </w:r>
            <w:r w:rsidRPr="002A18FA">
              <w:rPr>
                <w:sz w:val="24"/>
                <w:szCs w:val="24"/>
              </w:rPr>
              <w:t xml:space="preserve"> </w:t>
            </w:r>
          </w:p>
          <w:p w14:paraId="79A7DB90" w14:textId="77777777" w:rsidR="00BD575D" w:rsidRPr="00121B1E" w:rsidRDefault="00BD575D" w:rsidP="00121B1E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>To help in facilitating client invo</w:t>
            </w:r>
            <w:r w:rsidR="00121B1E">
              <w:rPr>
                <w:sz w:val="24"/>
                <w:szCs w:val="24"/>
              </w:rPr>
              <w:t>lvement, such as consultations</w:t>
            </w:r>
          </w:p>
          <w:p w14:paraId="379F0F6F" w14:textId="77777777" w:rsidR="00BD575D" w:rsidRPr="002A18FA" w:rsidRDefault="00BD575D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 xml:space="preserve">To actively promote the </w:t>
            </w:r>
            <w:r w:rsidR="00121B1E">
              <w:rPr>
                <w:sz w:val="24"/>
                <w:szCs w:val="24"/>
              </w:rPr>
              <w:t>services The Bridge provides</w:t>
            </w:r>
          </w:p>
          <w:p w14:paraId="6C1FF35B" w14:textId="77777777" w:rsidR="00BD575D" w:rsidRPr="002A18FA" w:rsidRDefault="00BD575D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>To work closely with Social Care Services if there are</w:t>
            </w:r>
            <w:r w:rsidR="009D6F8A">
              <w:rPr>
                <w:sz w:val="24"/>
                <w:szCs w:val="24"/>
              </w:rPr>
              <w:t xml:space="preserve"> issues around the safety of a child</w:t>
            </w:r>
            <w:r w:rsidRPr="002A18FA">
              <w:rPr>
                <w:sz w:val="24"/>
                <w:szCs w:val="24"/>
              </w:rPr>
              <w:t xml:space="preserve"> or a vulnerable adult   </w:t>
            </w:r>
          </w:p>
          <w:p w14:paraId="20C7E8B1" w14:textId="77777777" w:rsidR="00BD575D" w:rsidRPr="002A18FA" w:rsidRDefault="00BD575D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>To attend relevant meetings, such as, case conferences, ABC meetings with Landlords and other ag</w:t>
            </w:r>
            <w:r w:rsidR="00121B1E">
              <w:rPr>
                <w:sz w:val="24"/>
                <w:szCs w:val="24"/>
              </w:rPr>
              <w:t>encies involved with your cases</w:t>
            </w:r>
            <w:r w:rsidRPr="002A18FA">
              <w:rPr>
                <w:sz w:val="24"/>
                <w:szCs w:val="24"/>
              </w:rPr>
              <w:t xml:space="preserve">   </w:t>
            </w:r>
          </w:p>
          <w:p w14:paraId="303680E1" w14:textId="77777777" w:rsidR="00BD575D" w:rsidRPr="002A18FA" w:rsidRDefault="00BD575D" w:rsidP="00BD575D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>To maintain, update and</w:t>
            </w:r>
            <w:r w:rsidR="00121B1E">
              <w:rPr>
                <w:sz w:val="24"/>
                <w:szCs w:val="24"/>
              </w:rPr>
              <w:t xml:space="preserve"> organise the casework database</w:t>
            </w:r>
          </w:p>
          <w:p w14:paraId="799C666E" w14:textId="24128AEC" w:rsidR="00BD575D" w:rsidRPr="003F0612" w:rsidRDefault="00BD575D" w:rsidP="003F0612">
            <w:pPr>
              <w:numPr>
                <w:ilvl w:val="0"/>
                <w:numId w:val="1"/>
              </w:numPr>
              <w:spacing w:after="5" w:line="254" w:lineRule="auto"/>
              <w:ind w:right="44"/>
              <w:jc w:val="both"/>
              <w:rPr>
                <w:sz w:val="24"/>
                <w:szCs w:val="24"/>
              </w:rPr>
            </w:pPr>
            <w:r w:rsidRPr="002A18FA">
              <w:rPr>
                <w:sz w:val="24"/>
                <w:szCs w:val="24"/>
              </w:rPr>
              <w:t>To provide information to your manager for meetings</w:t>
            </w:r>
            <w:r w:rsidR="00121B1E">
              <w:rPr>
                <w:sz w:val="24"/>
                <w:szCs w:val="24"/>
              </w:rPr>
              <w:t xml:space="preserve"> with Landlords and/or Funders</w:t>
            </w:r>
            <w:r w:rsidRPr="002A18FA">
              <w:rPr>
                <w:sz w:val="24"/>
                <w:szCs w:val="24"/>
              </w:rPr>
              <w:t xml:space="preserve"> </w:t>
            </w:r>
          </w:p>
        </w:tc>
      </w:tr>
      <w:tr w:rsidR="00801E5C" w14:paraId="5E971B5C" w14:textId="77777777" w:rsidTr="00777EEC">
        <w:tc>
          <w:tcPr>
            <w:tcW w:w="9628" w:type="dxa"/>
            <w:shd w:val="clear" w:color="auto" w:fill="D9D9D9" w:themeFill="background1" w:themeFillShade="D9"/>
          </w:tcPr>
          <w:p w14:paraId="5FE13ABC" w14:textId="77777777" w:rsidR="00801E5C" w:rsidRPr="002A18FA" w:rsidRDefault="00801E5C" w:rsidP="00F86730">
            <w:pPr>
              <w:jc w:val="both"/>
              <w:rPr>
                <w:b/>
                <w:sz w:val="24"/>
                <w:szCs w:val="24"/>
              </w:rPr>
            </w:pPr>
            <w:r w:rsidRPr="002A18FA">
              <w:rPr>
                <w:b/>
                <w:sz w:val="24"/>
                <w:szCs w:val="24"/>
              </w:rPr>
              <w:lastRenderedPageBreak/>
              <w:t>General</w:t>
            </w:r>
            <w:r w:rsidR="00777EEC" w:rsidRPr="002A18FA">
              <w:rPr>
                <w:b/>
                <w:sz w:val="24"/>
                <w:szCs w:val="24"/>
              </w:rPr>
              <w:t xml:space="preserve"> Organisational Duties</w:t>
            </w:r>
          </w:p>
        </w:tc>
      </w:tr>
      <w:tr w:rsidR="00801E5C" w14:paraId="05AD7CF5" w14:textId="77777777" w:rsidTr="00801E5C">
        <w:tc>
          <w:tcPr>
            <w:tcW w:w="9628" w:type="dxa"/>
          </w:tcPr>
          <w:p w14:paraId="66017076" w14:textId="77777777" w:rsidR="00777EEC" w:rsidRPr="002A18FA" w:rsidRDefault="00777EEC" w:rsidP="00C5284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A18FA">
              <w:rPr>
                <w:rFonts w:ascii="Calibri" w:hAnsi="Calibri" w:cs="Arial"/>
                <w:sz w:val="24"/>
                <w:szCs w:val="24"/>
              </w:rPr>
              <w:t>To comply with, and adhere to, The Bridge’s Quality Management System (QMS)</w:t>
            </w:r>
          </w:p>
          <w:p w14:paraId="6044491D" w14:textId="77777777" w:rsidR="00777EEC" w:rsidRPr="002A18FA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4"/>
                <w:szCs w:val="24"/>
              </w:rPr>
            </w:pPr>
            <w:r w:rsidRPr="002A18FA">
              <w:rPr>
                <w:rFonts w:ascii="Calibri" w:hAnsi="Calibri" w:cs="Arial"/>
                <w:sz w:val="24"/>
                <w:szCs w:val="24"/>
              </w:rPr>
              <w:t>To take responsibility for producing your own correspondence</w:t>
            </w:r>
          </w:p>
          <w:p w14:paraId="36B5CD1B" w14:textId="77777777" w:rsidR="00777EEC" w:rsidRPr="002A18FA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A18FA">
              <w:rPr>
                <w:rFonts w:ascii="Calibri" w:hAnsi="Calibri" w:cs="Arial"/>
                <w:sz w:val="24"/>
                <w:szCs w:val="24"/>
              </w:rPr>
              <w:t xml:space="preserve">To take </w:t>
            </w:r>
            <w:r w:rsidR="00A72E24" w:rsidRPr="002A18FA">
              <w:rPr>
                <w:rFonts w:ascii="Calibri" w:hAnsi="Calibri" w:cs="Arial"/>
                <w:sz w:val="24"/>
                <w:szCs w:val="24"/>
              </w:rPr>
              <w:t>engage with, and contribute in,</w:t>
            </w:r>
            <w:r w:rsidRPr="002A18FA">
              <w:rPr>
                <w:rFonts w:ascii="Calibri" w:hAnsi="Calibri" w:cs="Arial"/>
                <w:sz w:val="24"/>
                <w:szCs w:val="24"/>
              </w:rPr>
              <w:t xml:space="preserve"> your own Training and Continual Professional Development</w:t>
            </w:r>
          </w:p>
          <w:p w14:paraId="778A4A0A" w14:textId="77777777" w:rsidR="00777EEC" w:rsidRPr="002A18FA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A18FA">
              <w:rPr>
                <w:rFonts w:ascii="Calibri" w:hAnsi="Calibri" w:cs="Arial"/>
                <w:sz w:val="24"/>
                <w:szCs w:val="24"/>
              </w:rPr>
              <w:t>To embed and exhibit The Bridge’s Values and Ethos in your work</w:t>
            </w:r>
          </w:p>
          <w:p w14:paraId="0F475B8B" w14:textId="77777777" w:rsidR="00801E5C" w:rsidRPr="002A18FA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A18FA">
              <w:rPr>
                <w:rFonts w:ascii="Calibri" w:hAnsi="Calibri" w:cs="Arial"/>
                <w:sz w:val="24"/>
                <w:szCs w:val="24"/>
              </w:rPr>
              <w:t xml:space="preserve">To take responsibility for your own health and safety and that of others in line with The Bridge’s Health and Safety </w:t>
            </w:r>
            <w:r w:rsidR="00C5284C" w:rsidRPr="002A18FA">
              <w:rPr>
                <w:rFonts w:ascii="Calibri" w:hAnsi="Calibri" w:cs="Arial"/>
                <w:sz w:val="24"/>
                <w:szCs w:val="24"/>
              </w:rPr>
              <w:t>P</w:t>
            </w:r>
            <w:r w:rsidRPr="002A18FA">
              <w:rPr>
                <w:rFonts w:ascii="Calibri" w:hAnsi="Calibri" w:cs="Arial"/>
                <w:sz w:val="24"/>
                <w:szCs w:val="24"/>
              </w:rPr>
              <w:t>olicy</w:t>
            </w:r>
          </w:p>
          <w:p w14:paraId="3F8FAB5A" w14:textId="77777777" w:rsidR="00C5284C" w:rsidRPr="002A18FA" w:rsidRDefault="00C5284C" w:rsidP="00C5284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A18FA">
              <w:rPr>
                <w:rFonts w:ascii="Calibri" w:hAnsi="Calibri" w:cs="Arial"/>
                <w:sz w:val="24"/>
                <w:szCs w:val="24"/>
              </w:rPr>
              <w:t>To undertake other duties as required by the Chief Officer to ensure the smooth running of The Bridge</w:t>
            </w:r>
          </w:p>
        </w:tc>
      </w:tr>
      <w:tr w:rsidR="00C5284C" w14:paraId="5E3DED9D" w14:textId="77777777" w:rsidTr="00813A45">
        <w:tc>
          <w:tcPr>
            <w:tcW w:w="9628" w:type="dxa"/>
            <w:shd w:val="clear" w:color="auto" w:fill="D9D9D9" w:themeFill="background1" w:themeFillShade="D9"/>
          </w:tcPr>
          <w:p w14:paraId="6B9F6DA3" w14:textId="77777777" w:rsidR="00C5284C" w:rsidRPr="002A18FA" w:rsidRDefault="00C5284C" w:rsidP="00F86730">
            <w:pPr>
              <w:jc w:val="both"/>
              <w:rPr>
                <w:b/>
                <w:sz w:val="24"/>
                <w:szCs w:val="24"/>
              </w:rPr>
            </w:pPr>
            <w:r w:rsidRPr="002A18FA">
              <w:rPr>
                <w:b/>
                <w:sz w:val="24"/>
                <w:szCs w:val="24"/>
              </w:rPr>
              <w:t>Special Factors</w:t>
            </w:r>
          </w:p>
        </w:tc>
      </w:tr>
      <w:tr w:rsidR="00C5284C" w14:paraId="2CEC4093" w14:textId="77777777" w:rsidTr="00813A45">
        <w:tc>
          <w:tcPr>
            <w:tcW w:w="9628" w:type="dxa"/>
          </w:tcPr>
          <w:p w14:paraId="07F4A2A7" w14:textId="77777777" w:rsidR="005F476B" w:rsidRDefault="005F476B" w:rsidP="005F476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This role is required to work occasional evenings and weekends</w:t>
            </w:r>
          </w:p>
          <w:p w14:paraId="6B0EAC13" w14:textId="4F10A886" w:rsidR="00C5284C" w:rsidRPr="002A18FA" w:rsidRDefault="005F476B" w:rsidP="005F476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This role requires a full driving licence and a car</w:t>
            </w:r>
          </w:p>
        </w:tc>
      </w:tr>
    </w:tbl>
    <w:p w14:paraId="27430FBD" w14:textId="77777777" w:rsidR="003F2E65" w:rsidRDefault="003F2E65" w:rsidP="001F61D1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7EEC" w14:paraId="5E15150B" w14:textId="77777777" w:rsidTr="00813A45">
        <w:tc>
          <w:tcPr>
            <w:tcW w:w="9628" w:type="dxa"/>
            <w:shd w:val="clear" w:color="auto" w:fill="BFBFBF" w:themeFill="background1" w:themeFillShade="BF"/>
          </w:tcPr>
          <w:p w14:paraId="0A64F4EE" w14:textId="77777777" w:rsidR="00777EEC" w:rsidRDefault="00777EEC" w:rsidP="00F86730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t>Person Specification</w:t>
            </w:r>
          </w:p>
        </w:tc>
      </w:tr>
    </w:tbl>
    <w:p w14:paraId="5F0B8732" w14:textId="77777777" w:rsidR="005315DE" w:rsidRDefault="005315DE" w:rsidP="005315DE">
      <w:pPr>
        <w:spacing w:after="0"/>
        <w:jc w:val="both"/>
        <w:rPr>
          <w:sz w:val="24"/>
        </w:rPr>
      </w:pPr>
    </w:p>
    <w:p w14:paraId="1634951E" w14:textId="584E713D" w:rsidR="005315DE" w:rsidRPr="0044239E" w:rsidRDefault="005315DE" w:rsidP="005315DE">
      <w:pPr>
        <w:spacing w:after="0"/>
        <w:jc w:val="both"/>
        <w:rPr>
          <w:sz w:val="24"/>
        </w:rPr>
      </w:pPr>
      <w:r>
        <w:rPr>
          <w:sz w:val="24"/>
        </w:rPr>
        <w:t xml:space="preserve">The following criteria define the relevant knowledge, experience, skills and abilities which a candidate will need to demonstrate throughout the recruitment process.  The criteria will be </w:t>
      </w:r>
      <w:r w:rsidRPr="0044239E">
        <w:rPr>
          <w:sz w:val="24"/>
        </w:rPr>
        <w:t>assessed at different stages including Application (A), Interview (I), Test (T) or Presentation (P).</w:t>
      </w:r>
    </w:p>
    <w:p w14:paraId="7A495FCF" w14:textId="77777777" w:rsidR="005315DE" w:rsidRPr="0044239E" w:rsidRDefault="005315DE" w:rsidP="005315DE">
      <w:pPr>
        <w:spacing w:after="0"/>
        <w:ind w:firstLine="720"/>
        <w:jc w:val="both"/>
        <w:rPr>
          <w:sz w:val="24"/>
        </w:rPr>
      </w:pPr>
    </w:p>
    <w:p w14:paraId="69D524E1" w14:textId="305A69E5" w:rsidR="000B6D8F" w:rsidRDefault="005315DE" w:rsidP="000B6D8F">
      <w:pPr>
        <w:spacing w:after="0"/>
        <w:jc w:val="both"/>
        <w:rPr>
          <w:sz w:val="24"/>
        </w:rPr>
      </w:pPr>
      <w:r w:rsidRPr="0044239E">
        <w:rPr>
          <w:sz w:val="24"/>
        </w:rPr>
        <w:t>In the final column we have provided a weighting in respect of the importance of meeting each criteria; 1 necessary, 2 important, 3 essential. The answer to each criteria will then be scored by members of the shortlisting panel on a scale of 0 to 2; 0 unmet, 1 part-met and 2 met. The total score of the application form will then be converted into a percentage which will be assessed against the organisational shortlisting thresholds. Candidates who meet, or exceed, this threshold will be invited to interview.</w:t>
      </w:r>
    </w:p>
    <w:p w14:paraId="37EDA8FE" w14:textId="77777777" w:rsidR="000B6D8F" w:rsidRDefault="000B6D8F" w:rsidP="000B6D8F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6713"/>
        <w:gridCol w:w="567"/>
        <w:gridCol w:w="567"/>
        <w:gridCol w:w="567"/>
        <w:gridCol w:w="561"/>
      </w:tblGrid>
      <w:tr w:rsidR="005F476B" w14:paraId="26BD8ED8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3378FABB" w14:textId="77777777" w:rsidR="005F476B" w:rsidRPr="00B33387" w:rsidRDefault="005F476B" w:rsidP="005F476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713" w:type="dxa"/>
            <w:shd w:val="clear" w:color="auto" w:fill="D9D9D9" w:themeFill="background1" w:themeFillShade="D9"/>
          </w:tcPr>
          <w:p w14:paraId="4337A556" w14:textId="77777777" w:rsidR="005F476B" w:rsidRPr="00B33387" w:rsidRDefault="005F476B" w:rsidP="005F476B">
            <w:pPr>
              <w:jc w:val="both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Criteria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8CEA012" w14:textId="68225D89" w:rsidR="005F476B" w:rsidRPr="00B33387" w:rsidRDefault="005F476B" w:rsidP="005F476B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9DFA57C" w14:textId="7153EAB3" w:rsidR="005F476B" w:rsidRPr="00B33387" w:rsidRDefault="005F476B" w:rsidP="005F476B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3DC62CF" w14:textId="64DA9D52" w:rsidR="005F476B" w:rsidRPr="00B33387" w:rsidRDefault="005F476B" w:rsidP="005F476B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/P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14:paraId="48C77418" w14:textId="676B89A2" w:rsidR="005F476B" w:rsidRPr="00B33387" w:rsidRDefault="005F476B" w:rsidP="005F47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</w:p>
        </w:tc>
      </w:tr>
      <w:tr w:rsidR="00B33387" w14:paraId="24495E6C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511DAAF1" w14:textId="77777777" w:rsidR="00B33387" w:rsidRDefault="00B33387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2DA99F82" w14:textId="7FE4700D" w:rsidR="001F61D1" w:rsidRPr="001F61D1" w:rsidRDefault="005F476B" w:rsidP="007653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</w:rPr>
              <w:t>A</w:t>
            </w:r>
            <w:r w:rsidRPr="005B6646">
              <w:rPr>
                <w:rFonts w:cs="Arial"/>
              </w:rPr>
              <w:t xml:space="preserve"> basic knowledge and understanding of the key principles involved in delivering a high quality Housing Support service</w:t>
            </w:r>
            <w:r w:rsidRPr="001F61D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F591B83" w14:textId="77777777" w:rsidR="00B33387" w:rsidRPr="001F61D1" w:rsidRDefault="001F61D1" w:rsidP="00B333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1D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8814FE5" w14:textId="2A7A8316" w:rsidR="00B33387" w:rsidRPr="001F61D1" w:rsidRDefault="00B33387" w:rsidP="00B3338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E30632" w14:textId="515788E5" w:rsidR="00B33387" w:rsidRPr="001F61D1" w:rsidRDefault="00B33387" w:rsidP="00B3338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07716557" w14:textId="0E891E32" w:rsidR="00B33387" w:rsidRPr="001F61D1" w:rsidRDefault="005F476B" w:rsidP="00B3338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113A5" w14:paraId="792F5721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2DB82855" w14:textId="77777777" w:rsidR="00D113A5" w:rsidRDefault="00D113A5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0CF00938" w14:textId="64A0284D" w:rsidR="00D113A5" w:rsidRPr="001F61D1" w:rsidRDefault="00BD575D" w:rsidP="005F476B">
            <w:pPr>
              <w:rPr>
                <w:rFonts w:cstheme="minorHAnsi"/>
                <w:sz w:val="24"/>
                <w:szCs w:val="24"/>
              </w:rPr>
            </w:pPr>
            <w:r w:rsidRPr="001F61D1">
              <w:rPr>
                <w:rFonts w:cstheme="minorHAnsi"/>
                <w:sz w:val="24"/>
                <w:szCs w:val="24"/>
              </w:rPr>
              <w:t xml:space="preserve">Knowledge of the needs of </w:t>
            </w:r>
            <w:r w:rsidR="005F476B">
              <w:rPr>
                <w:rFonts w:cstheme="minorHAnsi"/>
                <w:sz w:val="24"/>
                <w:szCs w:val="24"/>
              </w:rPr>
              <w:t>vulnerably housed</w:t>
            </w:r>
            <w:r w:rsidRPr="001F61D1">
              <w:rPr>
                <w:rFonts w:cstheme="minorHAnsi"/>
                <w:sz w:val="24"/>
                <w:szCs w:val="24"/>
              </w:rPr>
              <w:t xml:space="preserve"> people and the social, health &amp; economic issues affecting them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F9E4FA1" w14:textId="77777777" w:rsidR="00D113A5" w:rsidRPr="001F61D1" w:rsidRDefault="001F61D1" w:rsidP="00B333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1D1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761CCB9" w14:textId="77777777" w:rsidR="00D113A5" w:rsidRPr="001F61D1" w:rsidRDefault="00D113A5" w:rsidP="00B3338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F7AB26" w14:textId="77777777" w:rsidR="00D113A5" w:rsidRPr="001F61D1" w:rsidRDefault="00D113A5" w:rsidP="00B3338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516DB7C1" w14:textId="7FCA6B2E" w:rsidR="00D113A5" w:rsidRPr="001F61D1" w:rsidRDefault="005F476B" w:rsidP="00B3338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F476B" w14:paraId="45F7B27E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282E7C09" w14:textId="2EFB2790" w:rsidR="005F476B" w:rsidRDefault="005F476B" w:rsidP="005F476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68369C20" w14:textId="33BD93D0" w:rsidR="005F476B" w:rsidRPr="001F61D1" w:rsidRDefault="00426AB2" w:rsidP="00426AB2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The ability to work in partnership with existing partners and develop new working relationships with external colleagues from both the </w:t>
            </w:r>
            <w:r w:rsidRPr="00D16D08">
              <w:rPr>
                <w:rFonts w:ascii="Calibri" w:hAnsi="Calibri" w:cs="Calibri"/>
                <w:sz w:val="24"/>
                <w:szCs w:val="24"/>
              </w:rPr>
              <w:t>voluntary and statutory</w:t>
            </w:r>
            <w:r>
              <w:t xml:space="preserve"> sectors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2105AE8" w14:textId="77777777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87C439C" w14:textId="6F5B68F3" w:rsidR="005F476B" w:rsidRPr="001F61D1" w:rsidRDefault="00C172FE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23A7C87" w14:textId="77777777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48C84479" w14:textId="42BBBFBB" w:rsidR="005F476B" w:rsidRPr="001F61D1" w:rsidRDefault="00426AB2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F476B" w14:paraId="2A23A464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4A877220" w14:textId="7AF2E67F" w:rsidR="005F476B" w:rsidRDefault="005F476B" w:rsidP="005F47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213A51E3" w14:textId="1E0002AB" w:rsidR="005F476B" w:rsidRPr="001F61D1" w:rsidRDefault="005F476B" w:rsidP="00F6184C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The ability to assess need and risk, </w:t>
            </w:r>
            <w:r w:rsidRPr="001F61D1">
              <w:rPr>
                <w:rFonts w:cstheme="minorHAnsi"/>
                <w:sz w:val="24"/>
                <w:szCs w:val="24"/>
              </w:rPr>
              <w:t xml:space="preserve">create </w:t>
            </w:r>
            <w:r w:rsidR="00F6184C">
              <w:rPr>
                <w:rFonts w:cstheme="minorHAnsi"/>
                <w:sz w:val="24"/>
                <w:szCs w:val="24"/>
              </w:rPr>
              <w:t>support</w:t>
            </w:r>
            <w:r w:rsidRPr="001F61D1">
              <w:rPr>
                <w:rFonts w:cstheme="minorHAnsi"/>
                <w:sz w:val="24"/>
                <w:szCs w:val="24"/>
              </w:rPr>
              <w:t xml:space="preserve"> plans </w:t>
            </w:r>
            <w:r>
              <w:rPr>
                <w:rFonts w:cstheme="minorHAnsi"/>
                <w:sz w:val="24"/>
                <w:szCs w:val="24"/>
              </w:rPr>
              <w:t>and</w:t>
            </w:r>
            <w:r>
              <w:rPr>
                <w:sz w:val="23"/>
                <w:szCs w:val="23"/>
              </w:rPr>
              <w:t xml:space="preserve"> motivate people to identify and achieve their goals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5643187" w14:textId="77777777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FCCED7E" w14:textId="5C7365A8" w:rsidR="005F476B" w:rsidRPr="001F61D1" w:rsidRDefault="00C172FE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3BFF8BA" w14:textId="4974EB1B" w:rsidR="005F476B" w:rsidRPr="001F61D1" w:rsidRDefault="00C172FE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1" w:type="dxa"/>
          </w:tcPr>
          <w:p w14:paraId="26B5DE73" w14:textId="15EE8862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</w:tr>
      <w:tr w:rsidR="005F476B" w14:paraId="7040CD76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3466562A" w14:textId="51C5377D" w:rsidR="005F476B" w:rsidRDefault="005F476B" w:rsidP="005F47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17BF01CB" w14:textId="77777777" w:rsidR="005F476B" w:rsidRDefault="005F476B" w:rsidP="005F4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Good working knowledge of benefits &amp; income maximisation </w:t>
            </w:r>
          </w:p>
          <w:p w14:paraId="204436D5" w14:textId="33AD3B0C" w:rsidR="005F476B" w:rsidRPr="001F61D1" w:rsidRDefault="005F476B" w:rsidP="005F47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3F8404C" w14:textId="77777777" w:rsidR="005F476B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5C7A949" w14:textId="4781DFCC" w:rsidR="005F476B" w:rsidRDefault="00C172FE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7B60ACC" w14:textId="77777777" w:rsidR="005F476B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0DC8ED35" w14:textId="34D7B19A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5F476B" w14:paraId="5756F5B7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01172573" w14:textId="7143105D" w:rsidR="005F476B" w:rsidRDefault="005F476B" w:rsidP="005F47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700470BC" w14:textId="4C52B73C" w:rsidR="005F476B" w:rsidRPr="001F61D1" w:rsidRDefault="005F476B" w:rsidP="005F47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The ability to work positively with vulnerable people who may display challenging or difficult behaviour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565D2D5" w14:textId="77777777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E562864" w14:textId="5B6D5F55" w:rsidR="005F476B" w:rsidRDefault="00C172FE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A587DA4" w14:textId="77777777" w:rsidR="005F476B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1FD8B2FA" w14:textId="76D8ABC8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</w:tr>
      <w:tr w:rsidR="005F476B" w14:paraId="25534BC8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3E1D3F9A" w14:textId="74E45689" w:rsidR="005F476B" w:rsidRDefault="005F476B" w:rsidP="005F47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031DD3C9" w14:textId="133B6F89" w:rsidR="005F476B" w:rsidRPr="001F61D1" w:rsidRDefault="007E2EDD" w:rsidP="005F47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Experience of using a case managemen</w:t>
            </w:r>
            <w:r w:rsidR="00015AEA">
              <w:t>t system to accurately record</w:t>
            </w:r>
            <w:bookmarkStart w:id="0" w:name="_GoBack"/>
            <w:bookmarkEnd w:id="0"/>
            <w:r>
              <w:t xml:space="preserve"> case notes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t>and observations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A527B85" w14:textId="77777777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9596B52" w14:textId="19813DEE" w:rsidR="005F476B" w:rsidRPr="001F61D1" w:rsidRDefault="004673D8" w:rsidP="004673D8">
            <w:pPr>
              <w:tabs>
                <w:tab w:val="center" w:pos="1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  <w:t>X</w:t>
            </w:r>
          </w:p>
        </w:tc>
        <w:tc>
          <w:tcPr>
            <w:tcW w:w="567" w:type="dxa"/>
          </w:tcPr>
          <w:p w14:paraId="3676F6A4" w14:textId="77777777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0CE0C0DB" w14:textId="3B1881DF" w:rsidR="005F476B" w:rsidRPr="001F61D1" w:rsidRDefault="00426AB2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F476B" w14:paraId="75156938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078EF04E" w14:textId="16000F06" w:rsidR="005F476B" w:rsidRDefault="005F476B" w:rsidP="005F47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60362238" w14:textId="77777777" w:rsidR="005F476B" w:rsidRDefault="005F476B" w:rsidP="005F47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Understanding of key safeguarding issues and processes </w:t>
            </w:r>
          </w:p>
          <w:p w14:paraId="11A5A01A" w14:textId="49085873" w:rsidR="005F476B" w:rsidRPr="001F61D1" w:rsidRDefault="005F476B" w:rsidP="005F47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9FBCF07" w14:textId="77777777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C420141" w14:textId="0DEF1C0B" w:rsidR="005F476B" w:rsidRPr="001F61D1" w:rsidRDefault="00C172FE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B36FFEB" w14:textId="5FB5CBBB" w:rsidR="005F476B" w:rsidRPr="001F61D1" w:rsidRDefault="00C172FE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1" w:type="dxa"/>
          </w:tcPr>
          <w:p w14:paraId="4804A407" w14:textId="2E76935C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</w:tr>
      <w:tr w:rsidR="005F476B" w14:paraId="1BD808F7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517290E3" w14:textId="22583F06" w:rsidR="005F476B" w:rsidRDefault="005F476B" w:rsidP="005F47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332D44EF" w14:textId="7CD8A3DC" w:rsidR="005F476B" w:rsidRPr="001F61D1" w:rsidRDefault="005F476B" w:rsidP="005F476B">
            <w:pPr>
              <w:rPr>
                <w:rFonts w:cstheme="minorHAnsi"/>
                <w:sz w:val="24"/>
                <w:szCs w:val="24"/>
              </w:rPr>
            </w:pPr>
            <w:r w:rsidRPr="00774F5E">
              <w:rPr>
                <w:rFonts w:cstheme="minorHAnsi"/>
              </w:rPr>
              <w:t>A high level of written and verbal communication skills, including the ability to professionally challen</w:t>
            </w:r>
            <w:r>
              <w:rPr>
                <w:rFonts w:cstheme="minorHAnsi"/>
              </w:rPr>
              <w:t>ge and/or advocate for clients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BA50F3" w14:textId="77777777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8C0691A" w14:textId="29139582" w:rsidR="005F476B" w:rsidRPr="001F61D1" w:rsidRDefault="00C172FE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88CB05C" w14:textId="118B93F6" w:rsidR="005F476B" w:rsidRPr="001F61D1" w:rsidRDefault="00C172FE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1" w:type="dxa"/>
          </w:tcPr>
          <w:p w14:paraId="28568FD1" w14:textId="006E4BA2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</w:tr>
      <w:tr w:rsidR="005F476B" w14:paraId="47579EDC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49DC9C82" w14:textId="6C2C7415" w:rsidR="005F476B" w:rsidRDefault="005F476B" w:rsidP="005F47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2F6D0A95" w14:textId="5D77593D" w:rsidR="005F476B" w:rsidRPr="001F61D1" w:rsidRDefault="005F476B" w:rsidP="005F476B">
            <w:pPr>
              <w:jc w:val="both"/>
              <w:rPr>
                <w:rFonts w:cstheme="minorHAnsi"/>
                <w:sz w:val="24"/>
                <w:szCs w:val="24"/>
              </w:rPr>
            </w:pPr>
            <w:r w:rsidRPr="00643FC5">
              <w:t>The ability to work on your own initiative and manage multiple tasks within a pressured environment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53BCA6D" w14:textId="77777777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1D17855" w14:textId="584B4A47" w:rsidR="005F476B" w:rsidRPr="001F61D1" w:rsidRDefault="00C172FE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C0252AF" w14:textId="77777777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402ADC71" w14:textId="2E902D74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</w:tr>
      <w:tr w:rsidR="005F476B" w14:paraId="5167FF41" w14:textId="77777777" w:rsidTr="002A18FA">
        <w:tc>
          <w:tcPr>
            <w:tcW w:w="653" w:type="dxa"/>
            <w:shd w:val="clear" w:color="auto" w:fill="D9D9D9" w:themeFill="background1" w:themeFillShade="D9"/>
          </w:tcPr>
          <w:p w14:paraId="07764687" w14:textId="77777777" w:rsidR="005F476B" w:rsidRDefault="005F476B" w:rsidP="005F47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13" w:type="dxa"/>
            <w:shd w:val="clear" w:color="auto" w:fill="auto"/>
          </w:tcPr>
          <w:p w14:paraId="3E7DC871" w14:textId="5B469C59" w:rsidR="005F476B" w:rsidRPr="001F61D1" w:rsidRDefault="005F476B" w:rsidP="005F47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high-level commitment to and understanding of Equal Opportunities and the ability to counter discrimination</w:t>
            </w:r>
          </w:p>
        </w:tc>
        <w:tc>
          <w:tcPr>
            <w:tcW w:w="567" w:type="dxa"/>
            <w:shd w:val="clear" w:color="auto" w:fill="auto"/>
          </w:tcPr>
          <w:p w14:paraId="7A7F625A" w14:textId="77777777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ED0598" w14:textId="20D6327B" w:rsidR="005F476B" w:rsidRDefault="00C172FE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6FC451A" w14:textId="77777777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06F3C8B8" w14:textId="0190596F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F476B" w14:paraId="28D8B0C1" w14:textId="77777777" w:rsidTr="00491766">
        <w:tc>
          <w:tcPr>
            <w:tcW w:w="653" w:type="dxa"/>
            <w:shd w:val="clear" w:color="auto" w:fill="D9D9D9" w:themeFill="background1" w:themeFillShade="D9"/>
          </w:tcPr>
          <w:p w14:paraId="1DB8343C" w14:textId="77777777" w:rsidR="005F476B" w:rsidRDefault="005F476B" w:rsidP="005F47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13" w:type="dxa"/>
            <w:shd w:val="clear" w:color="auto" w:fill="auto"/>
          </w:tcPr>
          <w:p w14:paraId="3EB8B08C" w14:textId="09EB2C47" w:rsidR="005F476B" w:rsidRPr="001F61D1" w:rsidRDefault="005F476B" w:rsidP="005F47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high-level commitment to ensuring that The Bridge (East Midlands) values are embedded in your day to day work</w:t>
            </w:r>
          </w:p>
        </w:tc>
        <w:tc>
          <w:tcPr>
            <w:tcW w:w="567" w:type="dxa"/>
            <w:shd w:val="clear" w:color="auto" w:fill="auto"/>
          </w:tcPr>
          <w:p w14:paraId="4E59C107" w14:textId="77777777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4EFF09" w14:textId="2E031679" w:rsidR="005F476B" w:rsidRPr="001F61D1" w:rsidRDefault="00C172FE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59ADFC6" w14:textId="77777777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61879129" w14:textId="19C398D2" w:rsidR="005F476B" w:rsidRPr="001F61D1" w:rsidRDefault="005F476B" w:rsidP="005F47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086EE629" w14:textId="77777777" w:rsidR="001F61D1" w:rsidRDefault="001F61D1" w:rsidP="00777EEC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851"/>
        <w:gridCol w:w="2406"/>
        <w:gridCol w:w="2410"/>
        <w:gridCol w:w="992"/>
        <w:gridCol w:w="1415"/>
      </w:tblGrid>
      <w:tr w:rsidR="00C5284C" w14:paraId="57E984E7" w14:textId="77777777" w:rsidTr="00C5284C">
        <w:tc>
          <w:tcPr>
            <w:tcW w:w="9628" w:type="dxa"/>
            <w:gridSpan w:val="6"/>
            <w:shd w:val="clear" w:color="auto" w:fill="BFBFBF" w:themeFill="background1" w:themeFillShade="BF"/>
          </w:tcPr>
          <w:p w14:paraId="218073DC" w14:textId="77777777" w:rsidR="00C5284C" w:rsidRPr="00F86730" w:rsidRDefault="00F86730" w:rsidP="00777EEC">
            <w:pPr>
              <w:jc w:val="both"/>
              <w:rPr>
                <w:b/>
                <w:sz w:val="28"/>
              </w:rPr>
            </w:pPr>
            <w:r w:rsidRPr="00F86730">
              <w:rPr>
                <w:b/>
                <w:sz w:val="28"/>
              </w:rPr>
              <w:t>Document Control</w:t>
            </w:r>
          </w:p>
        </w:tc>
      </w:tr>
      <w:tr w:rsidR="00C5284C" w14:paraId="327F3332" w14:textId="77777777" w:rsidTr="00F6184C">
        <w:tc>
          <w:tcPr>
            <w:tcW w:w="1554" w:type="dxa"/>
          </w:tcPr>
          <w:p w14:paraId="349C84C9" w14:textId="77777777" w:rsidR="00C5284C" w:rsidRPr="00F86730" w:rsidRDefault="00C5284C" w:rsidP="00777EEC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Prepared by</w:t>
            </w:r>
          </w:p>
        </w:tc>
        <w:tc>
          <w:tcPr>
            <w:tcW w:w="5667" w:type="dxa"/>
            <w:gridSpan w:val="3"/>
          </w:tcPr>
          <w:p w14:paraId="739ED7F3" w14:textId="77777777" w:rsidR="00C5284C" w:rsidRDefault="001F61D1" w:rsidP="00777EEC">
            <w:pPr>
              <w:jc w:val="both"/>
              <w:rPr>
                <w:sz w:val="24"/>
              </w:rPr>
            </w:pPr>
            <w:r>
              <w:rPr>
                <w:sz w:val="24"/>
              </w:rPr>
              <w:t>Molly Boggis</w:t>
            </w:r>
          </w:p>
        </w:tc>
        <w:tc>
          <w:tcPr>
            <w:tcW w:w="992" w:type="dxa"/>
          </w:tcPr>
          <w:p w14:paraId="2FCF89AD" w14:textId="77777777" w:rsidR="00C5284C" w:rsidRPr="00F86730" w:rsidRDefault="00C5284C" w:rsidP="00777EEC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Date</w:t>
            </w:r>
          </w:p>
        </w:tc>
        <w:tc>
          <w:tcPr>
            <w:tcW w:w="1415" w:type="dxa"/>
          </w:tcPr>
          <w:p w14:paraId="47E18A30" w14:textId="1ADB6716" w:rsidR="00C5284C" w:rsidRDefault="005F476B" w:rsidP="000B6D8F">
            <w:pPr>
              <w:jc w:val="both"/>
              <w:rPr>
                <w:sz w:val="24"/>
              </w:rPr>
            </w:pPr>
            <w:r>
              <w:rPr>
                <w:sz w:val="24"/>
              </w:rPr>
              <w:t>08.05.2019</w:t>
            </w:r>
          </w:p>
        </w:tc>
      </w:tr>
      <w:tr w:rsidR="00C5284C" w14:paraId="2729A959" w14:textId="77777777" w:rsidTr="00F6184C">
        <w:tc>
          <w:tcPr>
            <w:tcW w:w="2405" w:type="dxa"/>
            <w:gridSpan w:val="2"/>
          </w:tcPr>
          <w:p w14:paraId="54DBE43F" w14:textId="77777777" w:rsidR="00C5284C" w:rsidRPr="00F86730" w:rsidRDefault="00C5284C" w:rsidP="00777EEC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QMS Document No.</w:t>
            </w:r>
          </w:p>
        </w:tc>
        <w:tc>
          <w:tcPr>
            <w:tcW w:w="2406" w:type="dxa"/>
          </w:tcPr>
          <w:p w14:paraId="12D031FC" w14:textId="3A6083F5" w:rsidR="00C5284C" w:rsidRDefault="00366C48" w:rsidP="00777EEC">
            <w:pPr>
              <w:jc w:val="both"/>
              <w:rPr>
                <w:sz w:val="24"/>
              </w:rPr>
            </w:pPr>
            <w:r>
              <w:rPr>
                <w:sz w:val="24"/>
              </w:rPr>
              <w:t>HSS-HR-0</w:t>
            </w:r>
            <w:r w:rsidR="003F2E65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581A5601" w14:textId="77777777" w:rsidR="00C5284C" w:rsidRPr="00F86730" w:rsidRDefault="00C5284C" w:rsidP="00354837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Version</w:t>
            </w:r>
            <w:r w:rsidR="00354837">
              <w:rPr>
                <w:b/>
                <w:sz w:val="24"/>
              </w:rPr>
              <w:t xml:space="preserve"> </w:t>
            </w:r>
          </w:p>
        </w:tc>
        <w:tc>
          <w:tcPr>
            <w:tcW w:w="2407" w:type="dxa"/>
            <w:gridSpan w:val="2"/>
          </w:tcPr>
          <w:p w14:paraId="05624CD1" w14:textId="5CDB2E96" w:rsidR="00C5284C" w:rsidRDefault="002E4290" w:rsidP="00777EEC">
            <w:pPr>
              <w:jc w:val="both"/>
              <w:rPr>
                <w:sz w:val="24"/>
              </w:rPr>
            </w:pPr>
            <w:r>
              <w:rPr>
                <w:sz w:val="24"/>
              </w:rPr>
              <w:t>V3</w:t>
            </w:r>
            <w:r w:rsidR="00354837">
              <w:rPr>
                <w:sz w:val="24"/>
              </w:rPr>
              <w:t>.0</w:t>
            </w:r>
          </w:p>
        </w:tc>
      </w:tr>
    </w:tbl>
    <w:p w14:paraId="04527063" w14:textId="77777777" w:rsidR="00C5284C" w:rsidRPr="00801E5C" w:rsidRDefault="00C5284C" w:rsidP="00777EEC">
      <w:pPr>
        <w:spacing w:after="0"/>
        <w:jc w:val="both"/>
        <w:rPr>
          <w:sz w:val="24"/>
        </w:rPr>
      </w:pPr>
    </w:p>
    <w:sectPr w:rsidR="00C5284C" w:rsidRPr="00801E5C" w:rsidSect="00801E5C">
      <w:head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2313B" w14:textId="77777777" w:rsidR="00E3131B" w:rsidRDefault="00E3131B" w:rsidP="00801E5C">
      <w:pPr>
        <w:spacing w:after="0" w:line="240" w:lineRule="auto"/>
      </w:pPr>
      <w:r>
        <w:separator/>
      </w:r>
    </w:p>
  </w:endnote>
  <w:endnote w:type="continuationSeparator" w:id="0">
    <w:p w14:paraId="37FB45BB" w14:textId="77777777" w:rsidR="00E3131B" w:rsidRDefault="00E3131B" w:rsidP="0080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CA73E" w14:textId="77777777" w:rsidR="00E3131B" w:rsidRDefault="00E3131B" w:rsidP="00801E5C">
      <w:pPr>
        <w:spacing w:after="0" w:line="240" w:lineRule="auto"/>
      </w:pPr>
      <w:r>
        <w:separator/>
      </w:r>
    </w:p>
  </w:footnote>
  <w:footnote w:type="continuationSeparator" w:id="0">
    <w:p w14:paraId="697373F0" w14:textId="77777777" w:rsidR="00E3131B" w:rsidRDefault="00E3131B" w:rsidP="0080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F87DE" w14:textId="77777777" w:rsidR="00801E5C" w:rsidRDefault="00801E5C" w:rsidP="005A2D8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BACFB9E" wp14:editId="263DA47B">
          <wp:extent cx="2118442" cy="984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Bridge Logo_TM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7" cy="994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E91"/>
    <w:multiLevelType w:val="hybridMultilevel"/>
    <w:tmpl w:val="BCC2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5858"/>
    <w:multiLevelType w:val="hybridMultilevel"/>
    <w:tmpl w:val="E946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624C"/>
    <w:multiLevelType w:val="hybridMultilevel"/>
    <w:tmpl w:val="608A0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7A72"/>
    <w:multiLevelType w:val="hybridMultilevel"/>
    <w:tmpl w:val="5D64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1F49"/>
    <w:multiLevelType w:val="hybridMultilevel"/>
    <w:tmpl w:val="8C923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B4D8C"/>
    <w:multiLevelType w:val="hybridMultilevel"/>
    <w:tmpl w:val="584CBE26"/>
    <w:lvl w:ilvl="0" w:tplc="2A600E16">
      <w:start w:val="1"/>
      <w:numFmt w:val="bullet"/>
      <w:lvlText w:val="•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C7E9A">
      <w:start w:val="1"/>
      <w:numFmt w:val="bullet"/>
      <w:lvlText w:val="o"/>
      <w:lvlJc w:val="left"/>
      <w:pPr>
        <w:ind w:left="1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EC2F2">
      <w:start w:val="1"/>
      <w:numFmt w:val="bullet"/>
      <w:lvlText w:val="▪"/>
      <w:lvlJc w:val="left"/>
      <w:pPr>
        <w:ind w:left="2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EA668">
      <w:start w:val="1"/>
      <w:numFmt w:val="bullet"/>
      <w:lvlText w:val="•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248F0">
      <w:start w:val="1"/>
      <w:numFmt w:val="bullet"/>
      <w:lvlText w:val="o"/>
      <w:lvlJc w:val="left"/>
      <w:pPr>
        <w:ind w:left="3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0D622">
      <w:start w:val="1"/>
      <w:numFmt w:val="bullet"/>
      <w:lvlText w:val="▪"/>
      <w:lvlJc w:val="left"/>
      <w:pPr>
        <w:ind w:left="4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2ED4C">
      <w:start w:val="1"/>
      <w:numFmt w:val="bullet"/>
      <w:lvlText w:val="•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67268">
      <w:start w:val="1"/>
      <w:numFmt w:val="bullet"/>
      <w:lvlText w:val="o"/>
      <w:lvlJc w:val="left"/>
      <w:pPr>
        <w:ind w:left="5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2DABE">
      <w:start w:val="1"/>
      <w:numFmt w:val="bullet"/>
      <w:lvlText w:val="▪"/>
      <w:lvlJc w:val="left"/>
      <w:pPr>
        <w:ind w:left="6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F32C8E"/>
    <w:multiLevelType w:val="hybridMultilevel"/>
    <w:tmpl w:val="2EF6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73E4"/>
    <w:multiLevelType w:val="hybridMultilevel"/>
    <w:tmpl w:val="8B98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D4B9E"/>
    <w:multiLevelType w:val="hybridMultilevel"/>
    <w:tmpl w:val="7C762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6B5A"/>
    <w:multiLevelType w:val="hybridMultilevel"/>
    <w:tmpl w:val="43EE97C0"/>
    <w:lvl w:ilvl="0" w:tplc="09AC691C">
      <w:start w:val="1"/>
      <w:numFmt w:val="bullet"/>
      <w:lvlText w:val="•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8795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4E06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67D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287C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C3CC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627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8EEA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8C37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C2278F"/>
    <w:multiLevelType w:val="hybridMultilevel"/>
    <w:tmpl w:val="C5003E92"/>
    <w:lvl w:ilvl="0" w:tplc="D1147A84">
      <w:start w:val="1"/>
      <w:numFmt w:val="bullet"/>
      <w:lvlText w:val="•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EBC3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4F68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8B5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EE92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811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EF2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824D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0CA0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640F40"/>
    <w:multiLevelType w:val="hybridMultilevel"/>
    <w:tmpl w:val="9696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F6DE3"/>
    <w:multiLevelType w:val="hybridMultilevel"/>
    <w:tmpl w:val="E054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C0DB1"/>
    <w:multiLevelType w:val="hybridMultilevel"/>
    <w:tmpl w:val="F4E0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C0"/>
    <w:rsid w:val="00012D34"/>
    <w:rsid w:val="00015AEA"/>
    <w:rsid w:val="000B6D8F"/>
    <w:rsid w:val="000C308B"/>
    <w:rsid w:val="000E1756"/>
    <w:rsid w:val="00121B1E"/>
    <w:rsid w:val="001C44E3"/>
    <w:rsid w:val="001E1A8D"/>
    <w:rsid w:val="001F61D1"/>
    <w:rsid w:val="00250927"/>
    <w:rsid w:val="002A18FA"/>
    <w:rsid w:val="002E4290"/>
    <w:rsid w:val="002E6534"/>
    <w:rsid w:val="0030523D"/>
    <w:rsid w:val="00354837"/>
    <w:rsid w:val="00366C48"/>
    <w:rsid w:val="003A1522"/>
    <w:rsid w:val="003C567C"/>
    <w:rsid w:val="003C66F4"/>
    <w:rsid w:val="003F0612"/>
    <w:rsid w:val="003F2E65"/>
    <w:rsid w:val="003F5107"/>
    <w:rsid w:val="00426AB2"/>
    <w:rsid w:val="0044280B"/>
    <w:rsid w:val="0046573F"/>
    <w:rsid w:val="004673D8"/>
    <w:rsid w:val="00491766"/>
    <w:rsid w:val="004A5EAC"/>
    <w:rsid w:val="004C34BD"/>
    <w:rsid w:val="004F35D5"/>
    <w:rsid w:val="005073FE"/>
    <w:rsid w:val="005315DE"/>
    <w:rsid w:val="005512E9"/>
    <w:rsid w:val="00555A11"/>
    <w:rsid w:val="00572372"/>
    <w:rsid w:val="005A2D8A"/>
    <w:rsid w:val="005B7FF4"/>
    <w:rsid w:val="005F476B"/>
    <w:rsid w:val="0060116A"/>
    <w:rsid w:val="006425FE"/>
    <w:rsid w:val="00653013"/>
    <w:rsid w:val="00765316"/>
    <w:rsid w:val="00771CAB"/>
    <w:rsid w:val="00777EEC"/>
    <w:rsid w:val="00781514"/>
    <w:rsid w:val="0078464A"/>
    <w:rsid w:val="007C2E28"/>
    <w:rsid w:val="007E2EDD"/>
    <w:rsid w:val="00801E5C"/>
    <w:rsid w:val="00836365"/>
    <w:rsid w:val="008A06CA"/>
    <w:rsid w:val="009570BA"/>
    <w:rsid w:val="00960C2C"/>
    <w:rsid w:val="00971D06"/>
    <w:rsid w:val="009D6F8A"/>
    <w:rsid w:val="009E27BB"/>
    <w:rsid w:val="00A159B2"/>
    <w:rsid w:val="00A40ADA"/>
    <w:rsid w:val="00A72E24"/>
    <w:rsid w:val="00AB4983"/>
    <w:rsid w:val="00AC7185"/>
    <w:rsid w:val="00AE7E1E"/>
    <w:rsid w:val="00AF6695"/>
    <w:rsid w:val="00B17836"/>
    <w:rsid w:val="00B33387"/>
    <w:rsid w:val="00B54F41"/>
    <w:rsid w:val="00BA50EF"/>
    <w:rsid w:val="00BD575D"/>
    <w:rsid w:val="00BE3932"/>
    <w:rsid w:val="00BF5D62"/>
    <w:rsid w:val="00C015A0"/>
    <w:rsid w:val="00C172FE"/>
    <w:rsid w:val="00C25334"/>
    <w:rsid w:val="00C45DBC"/>
    <w:rsid w:val="00C5284C"/>
    <w:rsid w:val="00D113A5"/>
    <w:rsid w:val="00D11F21"/>
    <w:rsid w:val="00D340A3"/>
    <w:rsid w:val="00D3656C"/>
    <w:rsid w:val="00E15C3E"/>
    <w:rsid w:val="00E3131B"/>
    <w:rsid w:val="00E715F9"/>
    <w:rsid w:val="00E87815"/>
    <w:rsid w:val="00F173C0"/>
    <w:rsid w:val="00F37892"/>
    <w:rsid w:val="00F6184C"/>
    <w:rsid w:val="00F86730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26A3AE"/>
  <w15:chartTrackingRefBased/>
  <w15:docId w15:val="{B2F726F3-5135-46FF-9589-7EAD809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5C"/>
  </w:style>
  <w:style w:type="paragraph" w:styleId="Footer">
    <w:name w:val="footer"/>
    <w:basedOn w:val="Normal"/>
    <w:link w:val="FooterChar"/>
    <w:uiPriority w:val="99"/>
    <w:unhideWhenUsed/>
    <w:rsid w:val="0080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5C"/>
  </w:style>
  <w:style w:type="table" w:styleId="TableGrid">
    <w:name w:val="Table Grid"/>
    <w:basedOn w:val="TableNormal"/>
    <w:uiPriority w:val="39"/>
    <w:rsid w:val="0080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EEC"/>
    <w:pPr>
      <w:ind w:left="720"/>
      <w:contextualSpacing/>
    </w:pPr>
  </w:style>
  <w:style w:type="paragraph" w:customStyle="1" w:styleId="p5">
    <w:name w:val="p5"/>
    <w:basedOn w:val="Normal"/>
    <w:rsid w:val="000E1756"/>
    <w:pPr>
      <w:widowControl w:val="0"/>
      <w:tabs>
        <w:tab w:val="left" w:pos="725"/>
      </w:tabs>
      <w:autoSpaceDE w:val="0"/>
      <w:autoSpaceDN w:val="0"/>
      <w:adjustRightInd w:val="0"/>
      <w:spacing w:after="0" w:line="240" w:lineRule="atLeast"/>
      <w:ind w:left="715" w:hanging="725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5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9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B2"/>
    <w:rPr>
      <w:rFonts w:ascii="Segoe UI" w:hAnsi="Segoe UI" w:cs="Segoe UI"/>
      <w:sz w:val="18"/>
      <w:szCs w:val="18"/>
    </w:rPr>
  </w:style>
  <w:style w:type="paragraph" w:customStyle="1" w:styleId="p7">
    <w:name w:val="p7"/>
    <w:basedOn w:val="Normal"/>
    <w:rsid w:val="00555A11"/>
    <w:pPr>
      <w:widowControl w:val="0"/>
      <w:tabs>
        <w:tab w:val="left" w:pos="748"/>
        <w:tab w:val="left" w:pos="1462"/>
      </w:tabs>
      <w:autoSpaceDE w:val="0"/>
      <w:autoSpaceDN w:val="0"/>
      <w:adjustRightInd w:val="0"/>
      <w:spacing w:after="0" w:line="249" w:lineRule="atLeast"/>
      <w:ind w:left="1462" w:hanging="714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t1">
    <w:name w:val="t1"/>
    <w:basedOn w:val="Normal"/>
    <w:rsid w:val="00765316"/>
    <w:pPr>
      <w:widowControl w:val="0"/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6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6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612"/>
    <w:rPr>
      <w:vertAlign w:val="superscript"/>
    </w:rPr>
  </w:style>
  <w:style w:type="paragraph" w:customStyle="1" w:styleId="Default">
    <w:name w:val="Default"/>
    <w:rsid w:val="005F4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9DAC3B538B438262EA2CBEDF13E0" ma:contentTypeVersion="10" ma:contentTypeDescription="Create a new document." ma:contentTypeScope="" ma:versionID="cd53e5c22e8c2b7d085769d643af3405">
  <xsd:schema xmlns:xsd="http://www.w3.org/2001/XMLSchema" xmlns:xs="http://www.w3.org/2001/XMLSchema" xmlns:p="http://schemas.microsoft.com/office/2006/metadata/properties" xmlns:ns2="8be8e954-a1db-433d-94e2-105db6c6d966" xmlns:ns3="fe1edf3b-d3b1-4ffb-9e7c-b98c31911014" targetNamespace="http://schemas.microsoft.com/office/2006/metadata/properties" ma:root="true" ma:fieldsID="480b5d379db254a6d2f3c513926c7c4a" ns2:_="" ns3:_="">
    <xsd:import namespace="8be8e954-a1db-433d-94e2-105db6c6d966"/>
    <xsd:import namespace="fe1edf3b-d3b1-4ffb-9e7c-b98c319110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e954-a1db-433d-94e2-105db6c6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edf3b-d3b1-4ffb-9e7c-b98c31911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EC4B-75BA-4DEF-9E58-21C2C1DB3F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1edf3b-d3b1-4ffb-9e7c-b98c31911014"/>
    <ds:schemaRef ds:uri="http://purl.org/dc/elements/1.1/"/>
    <ds:schemaRef ds:uri="http://schemas.microsoft.com/office/2006/metadata/properties"/>
    <ds:schemaRef ds:uri="8be8e954-a1db-433d-94e2-105db6c6d96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0187B3-F6D9-47B4-8C6D-34D726538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8e954-a1db-433d-94e2-105db6c6d966"/>
    <ds:schemaRef ds:uri="fe1edf3b-d3b1-4ffb-9e7c-b98c3191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9D34C-6FC0-40E2-B7ED-2F12E7E027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A9636-A138-4CBB-8AAF-EF5A2D7F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Snape</dc:creator>
  <cp:keywords/>
  <dc:description/>
  <cp:lastModifiedBy>Molly Boggis</cp:lastModifiedBy>
  <cp:revision>5</cp:revision>
  <cp:lastPrinted>2019-05-08T14:18:00Z</cp:lastPrinted>
  <dcterms:created xsi:type="dcterms:W3CDTF">2019-05-08T14:50:00Z</dcterms:created>
  <dcterms:modified xsi:type="dcterms:W3CDTF">2019-05-08T15:10:00Z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0x01010082A29DAC3B538B438262EA2CBEDF13E0</vt:lpwstr>
  </property>
</Properties>
</file>