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5FC4" w14:textId="77777777" w:rsidR="001E1A8D" w:rsidRPr="00C352CA" w:rsidRDefault="001E1A8D" w:rsidP="00C425BD">
      <w:pPr>
        <w:spacing w:after="0" w:line="24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801E5C" w14:paraId="77FB2333" w14:textId="77777777" w:rsidTr="00801E5C">
        <w:tc>
          <w:tcPr>
            <w:tcW w:w="9628" w:type="dxa"/>
            <w:gridSpan w:val="2"/>
            <w:shd w:val="clear" w:color="auto" w:fill="BFBFBF" w:themeFill="background1" w:themeFillShade="BF"/>
          </w:tcPr>
          <w:p w14:paraId="526B4321" w14:textId="04FD016B" w:rsidR="00801E5C" w:rsidRDefault="00C5284C" w:rsidP="00C425BD">
            <w:pPr>
              <w:jc w:val="both"/>
            </w:pPr>
            <w:r>
              <w:rPr>
                <w:b/>
                <w:sz w:val="32"/>
              </w:rPr>
              <w:t>Job Profile</w:t>
            </w:r>
          </w:p>
        </w:tc>
      </w:tr>
      <w:tr w:rsidR="00801E5C" w14:paraId="45F8A342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586BEBDE" w14:textId="446967FB" w:rsidR="00801E5C" w:rsidRPr="00801E5C" w:rsidRDefault="00F86730" w:rsidP="00C425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Title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14:paraId="3F449AEF" w14:textId="61895BDB" w:rsidR="00801E5C" w:rsidRPr="00F86730" w:rsidRDefault="009715CF" w:rsidP="00C425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Moneywise Plus Advisor</w:t>
            </w:r>
            <w:r w:rsidR="006B36D8">
              <w:rPr>
                <w:b/>
                <w:sz w:val="28"/>
              </w:rPr>
              <w:t xml:space="preserve"> </w:t>
            </w:r>
          </w:p>
        </w:tc>
      </w:tr>
      <w:tr w:rsidR="00F86730" w14:paraId="199560F8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79381E91" w14:textId="741D4AA0" w:rsidR="00F86730" w:rsidRPr="00801E5C" w:rsidRDefault="00F86730" w:rsidP="00C425BD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Hours per Week</w:t>
            </w:r>
          </w:p>
        </w:tc>
        <w:tc>
          <w:tcPr>
            <w:tcW w:w="7223" w:type="dxa"/>
          </w:tcPr>
          <w:p w14:paraId="78F99350" w14:textId="06C3DCA4" w:rsidR="00F86730" w:rsidRDefault="00342AC8" w:rsidP="00342AC8">
            <w:pPr>
              <w:rPr>
                <w:sz w:val="28"/>
              </w:rPr>
            </w:pPr>
            <w:r>
              <w:rPr>
                <w:sz w:val="28"/>
              </w:rPr>
              <w:t>37 hour post</w:t>
            </w:r>
            <w:bookmarkStart w:id="0" w:name="_GoBack"/>
            <w:bookmarkEnd w:id="0"/>
          </w:p>
        </w:tc>
      </w:tr>
      <w:tr w:rsidR="00F86730" w14:paraId="28C6ACD7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E9BEC0C" w14:textId="0B9212AB" w:rsidR="00F86730" w:rsidRPr="00801E5C" w:rsidRDefault="00F86730" w:rsidP="00C425BD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Salary</w:t>
            </w:r>
          </w:p>
        </w:tc>
        <w:tc>
          <w:tcPr>
            <w:tcW w:w="7223" w:type="dxa"/>
          </w:tcPr>
          <w:p w14:paraId="6EBB76BA" w14:textId="45978A74" w:rsidR="00F86730" w:rsidRPr="00801E5C" w:rsidRDefault="00F86730" w:rsidP="00C425BD">
            <w:pPr>
              <w:rPr>
                <w:sz w:val="28"/>
              </w:rPr>
            </w:pPr>
            <w:r>
              <w:rPr>
                <w:sz w:val="28"/>
              </w:rPr>
              <w:t>up to £</w:t>
            </w:r>
            <w:r w:rsidR="009715CF">
              <w:rPr>
                <w:sz w:val="28"/>
              </w:rPr>
              <w:t>23,069 FTE</w:t>
            </w:r>
            <w:r w:rsidR="00307DC3">
              <w:rPr>
                <w:sz w:val="28"/>
              </w:rPr>
              <w:t xml:space="preserve"> (</w:t>
            </w:r>
            <w:r>
              <w:rPr>
                <w:sz w:val="28"/>
              </w:rPr>
              <w:t>dependent upon experience)</w:t>
            </w:r>
          </w:p>
        </w:tc>
      </w:tr>
      <w:tr w:rsidR="00C352CA" w14:paraId="433BD2E0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213AB3F3" w14:textId="16A603D6" w:rsidR="00C352CA" w:rsidRPr="00801E5C" w:rsidRDefault="00C352CA" w:rsidP="00C425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Fixed Term</w:t>
            </w:r>
          </w:p>
        </w:tc>
        <w:tc>
          <w:tcPr>
            <w:tcW w:w="7223" w:type="dxa"/>
          </w:tcPr>
          <w:p w14:paraId="641636A9" w14:textId="1E589147" w:rsidR="00C352CA" w:rsidRDefault="00C352CA" w:rsidP="00C425BD">
            <w:pPr>
              <w:rPr>
                <w:sz w:val="28"/>
              </w:rPr>
            </w:pPr>
            <w:r>
              <w:rPr>
                <w:sz w:val="28"/>
              </w:rPr>
              <w:t xml:space="preserve">until </w:t>
            </w:r>
            <w:r w:rsidR="009715CF">
              <w:rPr>
                <w:sz w:val="28"/>
              </w:rPr>
              <w:t>30</w:t>
            </w:r>
            <w:r w:rsidR="009715CF" w:rsidRPr="009715CF">
              <w:rPr>
                <w:sz w:val="28"/>
                <w:vertAlign w:val="superscript"/>
              </w:rPr>
              <w:t>th</w:t>
            </w:r>
            <w:r w:rsidR="009715CF">
              <w:rPr>
                <w:sz w:val="28"/>
              </w:rPr>
              <w:t xml:space="preserve"> June 2022</w:t>
            </w:r>
          </w:p>
        </w:tc>
      </w:tr>
      <w:tr w:rsidR="00F86730" w14:paraId="1D6B3C89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8E183E7" w14:textId="3DD80D06" w:rsidR="00F86730" w:rsidRPr="00801E5C" w:rsidRDefault="00F86730" w:rsidP="00C425BD">
            <w:pPr>
              <w:rPr>
                <w:b/>
                <w:sz w:val="28"/>
              </w:rPr>
            </w:pPr>
            <w:r w:rsidRPr="00801E5C">
              <w:rPr>
                <w:b/>
                <w:sz w:val="28"/>
              </w:rPr>
              <w:t>Responsible to</w:t>
            </w:r>
          </w:p>
        </w:tc>
        <w:tc>
          <w:tcPr>
            <w:tcW w:w="7223" w:type="dxa"/>
          </w:tcPr>
          <w:p w14:paraId="2E8E1FEB" w14:textId="40AD1D5D" w:rsidR="00F86730" w:rsidRPr="00801E5C" w:rsidRDefault="009715CF" w:rsidP="00C425BD">
            <w:pPr>
              <w:rPr>
                <w:sz w:val="28"/>
              </w:rPr>
            </w:pPr>
            <w:r>
              <w:rPr>
                <w:sz w:val="28"/>
              </w:rPr>
              <w:t>Senior Moneywise Plus Advisor</w:t>
            </w:r>
          </w:p>
        </w:tc>
      </w:tr>
      <w:tr w:rsidR="00F86730" w14:paraId="6C5917E9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2BBB35F5" w14:textId="1CA21982" w:rsidR="00F86730" w:rsidRPr="00801E5C" w:rsidRDefault="00F86730" w:rsidP="00C425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Service/Team</w:t>
            </w:r>
          </w:p>
        </w:tc>
        <w:tc>
          <w:tcPr>
            <w:tcW w:w="7223" w:type="dxa"/>
          </w:tcPr>
          <w:p w14:paraId="4811C255" w14:textId="1D9DDC93" w:rsidR="00F86730" w:rsidRDefault="00307DC3" w:rsidP="00C425BD">
            <w:pPr>
              <w:rPr>
                <w:sz w:val="28"/>
              </w:rPr>
            </w:pPr>
            <w:r>
              <w:rPr>
                <w:sz w:val="28"/>
              </w:rPr>
              <w:t xml:space="preserve">Moneywise Plus </w:t>
            </w:r>
            <w:r w:rsidR="006B36D8">
              <w:rPr>
                <w:sz w:val="28"/>
              </w:rPr>
              <w:t xml:space="preserve">Engagement Team </w:t>
            </w:r>
          </w:p>
        </w:tc>
      </w:tr>
      <w:tr w:rsidR="00F86730" w14:paraId="14FBABAB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4AB7CDC5" w14:textId="17050CA4" w:rsidR="00F86730" w:rsidRDefault="00F86730" w:rsidP="00C425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Job Number</w:t>
            </w:r>
          </w:p>
        </w:tc>
        <w:tc>
          <w:tcPr>
            <w:tcW w:w="7223" w:type="dxa"/>
          </w:tcPr>
          <w:p w14:paraId="085DE3E0" w14:textId="1B690A65" w:rsidR="00F86730" w:rsidRDefault="00E5797E" w:rsidP="00C425BD">
            <w:pPr>
              <w:rPr>
                <w:sz w:val="28"/>
              </w:rPr>
            </w:pPr>
            <w:r>
              <w:rPr>
                <w:sz w:val="28"/>
              </w:rPr>
              <w:t>GEN</w:t>
            </w:r>
            <w:r w:rsidR="003C66F4">
              <w:rPr>
                <w:sz w:val="28"/>
              </w:rPr>
              <w:t>-</w:t>
            </w:r>
            <w:r w:rsidR="001E1A8D">
              <w:rPr>
                <w:sz w:val="28"/>
              </w:rPr>
              <w:t>HR</w:t>
            </w:r>
            <w:r w:rsidR="003C66F4">
              <w:rPr>
                <w:sz w:val="28"/>
              </w:rPr>
              <w:t>-</w:t>
            </w:r>
            <w:r>
              <w:rPr>
                <w:sz w:val="28"/>
              </w:rPr>
              <w:t>0</w:t>
            </w:r>
            <w:r w:rsidR="009715CF">
              <w:rPr>
                <w:sz w:val="28"/>
              </w:rPr>
              <w:t>41</w:t>
            </w:r>
          </w:p>
        </w:tc>
      </w:tr>
      <w:tr w:rsidR="00F86730" w14:paraId="0A5F8EBA" w14:textId="77777777" w:rsidTr="00F86730">
        <w:tc>
          <w:tcPr>
            <w:tcW w:w="2405" w:type="dxa"/>
            <w:shd w:val="clear" w:color="auto" w:fill="D9D9D9" w:themeFill="background1" w:themeFillShade="D9"/>
          </w:tcPr>
          <w:p w14:paraId="668E64F2" w14:textId="501708F1" w:rsidR="00F86730" w:rsidRDefault="00F86730" w:rsidP="00C425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Base/Location</w:t>
            </w:r>
          </w:p>
        </w:tc>
        <w:tc>
          <w:tcPr>
            <w:tcW w:w="7223" w:type="dxa"/>
          </w:tcPr>
          <w:p w14:paraId="7FC38202" w14:textId="2B785037" w:rsidR="00F86730" w:rsidRDefault="006B36D8" w:rsidP="00C425BD">
            <w:pPr>
              <w:rPr>
                <w:sz w:val="28"/>
              </w:rPr>
            </w:pPr>
            <w:r>
              <w:rPr>
                <w:sz w:val="28"/>
              </w:rPr>
              <w:t>38 Leicester Road, Loughborough, LE11 2AG</w:t>
            </w:r>
          </w:p>
        </w:tc>
      </w:tr>
    </w:tbl>
    <w:p w14:paraId="162075AB" w14:textId="764ED5CB" w:rsidR="00801E5C" w:rsidRDefault="00801E5C" w:rsidP="00C425BD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1E5C" w14:paraId="638D0AFB" w14:textId="77777777" w:rsidTr="00733114">
        <w:tc>
          <w:tcPr>
            <w:tcW w:w="96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BB8292" w14:textId="5628B5AB" w:rsidR="00801E5C" w:rsidRDefault="00801E5C" w:rsidP="00C425BD">
            <w:pPr>
              <w:jc w:val="both"/>
              <w:rPr>
                <w:sz w:val="24"/>
              </w:rPr>
            </w:pPr>
            <w:r w:rsidRPr="00801E5C">
              <w:rPr>
                <w:b/>
                <w:sz w:val="28"/>
              </w:rPr>
              <w:t>Job Purpose</w:t>
            </w:r>
          </w:p>
        </w:tc>
      </w:tr>
      <w:tr w:rsidR="00801E5C" w:rsidRPr="004F732E" w14:paraId="3C53B406" w14:textId="77777777" w:rsidTr="00801E5C">
        <w:tc>
          <w:tcPr>
            <w:tcW w:w="9628" w:type="dxa"/>
          </w:tcPr>
          <w:p w14:paraId="440A326A" w14:textId="77777777" w:rsidR="009715CF" w:rsidRPr="00C136F9" w:rsidRDefault="009715CF" w:rsidP="00A7794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6F9">
              <w:rPr>
                <w:rFonts w:cstheme="minorHAnsi"/>
                <w:sz w:val="24"/>
                <w:szCs w:val="24"/>
              </w:rPr>
              <w:t xml:space="preserve">The Building Better Opportunities Programme is jointly funded by The National Lottery Community Fund and the European Social Fund.  Moneywise Plus, led by Reaching People, works with those aged 18+ to improve their financial and digital skills, enabling individuals to move closer to the labour market.  Other delivery partners include: </w:t>
            </w:r>
          </w:p>
          <w:p w14:paraId="563CE931" w14:textId="77777777" w:rsidR="009715CF" w:rsidRPr="00C136F9" w:rsidRDefault="009715CF" w:rsidP="00A77943">
            <w:pPr>
              <w:jc w:val="both"/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4701"/>
            </w:tblGrid>
            <w:tr w:rsidR="009715CF" w:rsidRPr="00C136F9" w14:paraId="5574F0FD" w14:textId="77777777" w:rsidTr="006B0D5A">
              <w:trPr>
                <w:trHeight w:val="1052"/>
              </w:trPr>
              <w:tc>
                <w:tcPr>
                  <w:tcW w:w="4701" w:type="dxa"/>
                </w:tcPr>
                <w:p w14:paraId="79CAF116" w14:textId="77777777" w:rsidR="009715CF" w:rsidRPr="00C136F9" w:rsidRDefault="009715CF" w:rsidP="00A7794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136F9">
                    <w:rPr>
                      <w:rFonts w:cstheme="minorHAnsi"/>
                      <w:sz w:val="24"/>
                      <w:szCs w:val="24"/>
                    </w:rPr>
                    <w:t>The Y;</w:t>
                  </w:r>
                </w:p>
                <w:p w14:paraId="798FD598" w14:textId="77777777" w:rsidR="009715CF" w:rsidRPr="00C136F9" w:rsidRDefault="009715CF" w:rsidP="00A7794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136F9">
                    <w:rPr>
                      <w:rFonts w:cstheme="minorHAnsi"/>
                      <w:sz w:val="24"/>
                      <w:szCs w:val="24"/>
                    </w:rPr>
                    <w:t>Action Homeless;</w:t>
                  </w:r>
                </w:p>
                <w:p w14:paraId="1E022B1F" w14:textId="77777777" w:rsidR="009715CF" w:rsidRPr="00C136F9" w:rsidRDefault="009715CF" w:rsidP="00A7794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136F9">
                    <w:rPr>
                      <w:rFonts w:cstheme="minorHAnsi"/>
                      <w:sz w:val="24"/>
                      <w:szCs w:val="24"/>
                    </w:rPr>
                    <w:t>Community Advice and Law Service;</w:t>
                  </w:r>
                </w:p>
                <w:p w14:paraId="543D0453" w14:textId="77777777" w:rsidR="009715CF" w:rsidRPr="00C136F9" w:rsidRDefault="009715CF" w:rsidP="00A77943">
                  <w:pPr>
                    <w:ind w:left="360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701" w:type="dxa"/>
                </w:tcPr>
                <w:p w14:paraId="43DBC99B" w14:textId="77777777" w:rsidR="009715CF" w:rsidRPr="00C136F9" w:rsidRDefault="009715CF" w:rsidP="00A7794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136F9">
                    <w:rPr>
                      <w:rFonts w:cstheme="minorHAnsi"/>
                      <w:sz w:val="24"/>
                      <w:szCs w:val="24"/>
                    </w:rPr>
                    <w:t xml:space="preserve">Leicestershire County Council; </w:t>
                  </w:r>
                </w:p>
                <w:p w14:paraId="61D216E6" w14:textId="7D92156B" w:rsidR="009715CF" w:rsidRPr="00C136F9" w:rsidRDefault="009715CF" w:rsidP="00A7794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136F9">
                    <w:rPr>
                      <w:rFonts w:cstheme="minorHAnsi"/>
                      <w:sz w:val="24"/>
                      <w:szCs w:val="24"/>
                    </w:rPr>
                    <w:t xml:space="preserve">Citizens Advice </w:t>
                  </w:r>
                  <w:r w:rsidR="00135F47" w:rsidRPr="00C136F9">
                    <w:rPr>
                      <w:rFonts w:cstheme="minorHAnsi"/>
                      <w:sz w:val="24"/>
                      <w:szCs w:val="24"/>
                    </w:rPr>
                    <w:t>Leicestershire</w:t>
                  </w:r>
                  <w:r w:rsidRPr="00C136F9">
                    <w:rPr>
                      <w:rFonts w:cstheme="minorHAnsi"/>
                      <w:sz w:val="24"/>
                      <w:szCs w:val="24"/>
                    </w:rPr>
                    <w:t>; and,</w:t>
                  </w:r>
                </w:p>
                <w:p w14:paraId="53C55C5B" w14:textId="77777777" w:rsidR="009715CF" w:rsidRPr="00C136F9" w:rsidRDefault="009715CF" w:rsidP="00A7794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C136F9">
                    <w:rPr>
                      <w:rFonts w:cstheme="minorHAnsi"/>
                      <w:sz w:val="24"/>
                      <w:szCs w:val="24"/>
                    </w:rPr>
                    <w:t>Leicester College;</w:t>
                  </w:r>
                </w:p>
              </w:tc>
            </w:tr>
          </w:tbl>
          <w:p w14:paraId="326737D5" w14:textId="0382D9D0" w:rsidR="00B71D6D" w:rsidRPr="00C136F9" w:rsidRDefault="00B71D6D" w:rsidP="00A7794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6F9">
              <w:rPr>
                <w:rFonts w:cstheme="minorHAnsi"/>
                <w:sz w:val="24"/>
                <w:szCs w:val="24"/>
              </w:rPr>
              <w:t>The post</w:t>
            </w:r>
            <w:r w:rsidR="00135F47">
              <w:rPr>
                <w:rFonts w:cstheme="minorHAnsi"/>
                <w:sz w:val="24"/>
                <w:szCs w:val="24"/>
              </w:rPr>
              <w:t xml:space="preserve"> </w:t>
            </w:r>
            <w:r w:rsidRPr="00C136F9">
              <w:rPr>
                <w:rFonts w:cstheme="minorHAnsi"/>
                <w:sz w:val="24"/>
                <w:szCs w:val="24"/>
              </w:rPr>
              <w:t>holder will be working as a member of a team of advis</w:t>
            </w:r>
            <w:r w:rsidR="00891F57" w:rsidRPr="00C136F9">
              <w:rPr>
                <w:rFonts w:cstheme="minorHAnsi"/>
                <w:sz w:val="24"/>
                <w:szCs w:val="24"/>
              </w:rPr>
              <w:t>o</w:t>
            </w:r>
            <w:r w:rsidRPr="00C136F9">
              <w:rPr>
                <w:rFonts w:cstheme="minorHAnsi"/>
                <w:sz w:val="24"/>
                <w:szCs w:val="24"/>
              </w:rPr>
              <w:t xml:space="preserve">rs from </w:t>
            </w:r>
            <w:r w:rsidR="00A77943" w:rsidRPr="00C136F9">
              <w:rPr>
                <w:rFonts w:cstheme="minorHAnsi"/>
                <w:sz w:val="24"/>
                <w:szCs w:val="24"/>
              </w:rPr>
              <w:t>across the partnership</w:t>
            </w:r>
            <w:r w:rsidRPr="00C136F9">
              <w:rPr>
                <w:rFonts w:cstheme="minorHAnsi"/>
                <w:sz w:val="24"/>
                <w:szCs w:val="24"/>
              </w:rPr>
              <w:t xml:space="preserve"> </w:t>
            </w:r>
            <w:r w:rsidR="00A77943" w:rsidRPr="00C136F9">
              <w:rPr>
                <w:rFonts w:cstheme="minorHAnsi"/>
                <w:sz w:val="24"/>
                <w:szCs w:val="24"/>
              </w:rPr>
              <w:t>providing</w:t>
            </w:r>
            <w:r w:rsidRPr="00C136F9">
              <w:rPr>
                <w:rFonts w:cstheme="minorHAnsi"/>
                <w:sz w:val="24"/>
                <w:szCs w:val="24"/>
              </w:rPr>
              <w:t xml:space="preserve"> information, advice and guidance to unemployed</w:t>
            </w:r>
            <w:r w:rsidR="00A77943" w:rsidRPr="00C136F9">
              <w:rPr>
                <w:rFonts w:cstheme="minorHAnsi"/>
                <w:sz w:val="24"/>
                <w:szCs w:val="24"/>
              </w:rPr>
              <w:t xml:space="preserve">, </w:t>
            </w:r>
            <w:r w:rsidRPr="00C136F9">
              <w:rPr>
                <w:rFonts w:cstheme="minorHAnsi"/>
                <w:sz w:val="24"/>
                <w:szCs w:val="24"/>
              </w:rPr>
              <w:t>unwaged</w:t>
            </w:r>
            <w:r w:rsidR="00A77943" w:rsidRPr="00C136F9">
              <w:rPr>
                <w:rFonts w:cstheme="minorHAnsi"/>
                <w:sz w:val="24"/>
                <w:szCs w:val="24"/>
              </w:rPr>
              <w:t xml:space="preserve"> and economically inactive</w:t>
            </w:r>
            <w:r w:rsidRPr="00C136F9">
              <w:rPr>
                <w:rFonts w:cstheme="minorHAnsi"/>
                <w:sz w:val="24"/>
                <w:szCs w:val="24"/>
              </w:rPr>
              <w:t xml:space="preserve"> individuals and groups</w:t>
            </w:r>
            <w:r w:rsidR="00A77943" w:rsidRPr="00C136F9">
              <w:rPr>
                <w:rFonts w:cstheme="minorHAnsi"/>
                <w:sz w:val="24"/>
                <w:szCs w:val="24"/>
              </w:rPr>
              <w:t xml:space="preserve">; this will involve having a key role in the promotion of </w:t>
            </w:r>
            <w:r w:rsidR="00446B1F">
              <w:rPr>
                <w:rFonts w:cstheme="minorHAnsi"/>
                <w:sz w:val="24"/>
                <w:szCs w:val="24"/>
              </w:rPr>
              <w:t>M</w:t>
            </w:r>
            <w:r w:rsidR="00A77943" w:rsidRPr="00C136F9">
              <w:rPr>
                <w:rFonts w:cstheme="minorHAnsi"/>
                <w:sz w:val="24"/>
                <w:szCs w:val="24"/>
              </w:rPr>
              <w:t xml:space="preserve">oneywise </w:t>
            </w:r>
            <w:r w:rsidR="00446B1F">
              <w:rPr>
                <w:rFonts w:cstheme="minorHAnsi"/>
                <w:sz w:val="24"/>
                <w:szCs w:val="24"/>
              </w:rPr>
              <w:t>P</w:t>
            </w:r>
            <w:r w:rsidR="00A77943" w:rsidRPr="00C136F9">
              <w:rPr>
                <w:rFonts w:cstheme="minorHAnsi"/>
                <w:sz w:val="24"/>
                <w:szCs w:val="24"/>
              </w:rPr>
              <w:t>lus and undertaking outreach work.</w:t>
            </w:r>
          </w:p>
          <w:p w14:paraId="711F0E1A" w14:textId="77777777" w:rsidR="00891F57" w:rsidRPr="00C136F9" w:rsidRDefault="00891F57" w:rsidP="00A7794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4EB2769" w14:textId="1FE6177C" w:rsidR="006B36D8" w:rsidRPr="00C136F9" w:rsidRDefault="00A77943" w:rsidP="00A77943">
            <w:pPr>
              <w:jc w:val="both"/>
              <w:rPr>
                <w:rFonts w:cstheme="minorHAnsi"/>
                <w:sz w:val="24"/>
                <w:szCs w:val="24"/>
              </w:rPr>
            </w:pPr>
            <w:r w:rsidRPr="00C136F9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C136F9">
              <w:rPr>
                <w:rFonts w:cstheme="minorHAnsi"/>
                <w:sz w:val="24"/>
                <w:szCs w:val="24"/>
              </w:rPr>
              <w:t>pos</w:t>
            </w:r>
            <w:proofErr w:type="spellEnd"/>
            <w:r w:rsidR="00135F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136F9">
              <w:rPr>
                <w:rFonts w:cstheme="minorHAnsi"/>
                <w:sz w:val="24"/>
                <w:szCs w:val="24"/>
              </w:rPr>
              <w:t>tholder</w:t>
            </w:r>
            <w:proofErr w:type="spellEnd"/>
            <w:r w:rsidRPr="00C136F9">
              <w:rPr>
                <w:rFonts w:cstheme="minorHAnsi"/>
                <w:sz w:val="24"/>
                <w:szCs w:val="24"/>
              </w:rPr>
              <w:t xml:space="preserve"> will register new participants onto the project</w:t>
            </w:r>
            <w:r w:rsidR="00C136F9" w:rsidRPr="00C136F9">
              <w:rPr>
                <w:rFonts w:cstheme="minorHAnsi"/>
                <w:sz w:val="24"/>
                <w:szCs w:val="24"/>
              </w:rPr>
              <w:t xml:space="preserve"> and undertake an in-depth assessment of their needs.  Participants will be supported </w:t>
            </w:r>
            <w:r w:rsidRPr="00C136F9">
              <w:rPr>
                <w:rFonts w:cstheme="minorHAnsi"/>
                <w:sz w:val="24"/>
                <w:szCs w:val="24"/>
              </w:rPr>
              <w:t>to develop action plans, with the aim of moving them closer</w:t>
            </w:r>
            <w:r w:rsidR="00C136F9" w:rsidRPr="00C136F9">
              <w:rPr>
                <w:rFonts w:cstheme="minorHAnsi"/>
                <w:sz w:val="24"/>
                <w:szCs w:val="24"/>
              </w:rPr>
              <w:t xml:space="preserve"> to</w:t>
            </w:r>
            <w:r w:rsidRPr="00C136F9">
              <w:rPr>
                <w:rFonts w:cstheme="minorHAnsi"/>
                <w:sz w:val="24"/>
                <w:szCs w:val="24"/>
              </w:rPr>
              <w:t xml:space="preserve"> their employment or education goals by ensuring that they demonstrate improved IT and money management skills and the ability to job search. </w:t>
            </w:r>
          </w:p>
        </w:tc>
      </w:tr>
      <w:tr w:rsidR="00801E5C" w:rsidRPr="004F732E" w14:paraId="7CB9DE01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3550EDA7" w14:textId="33DA3E21" w:rsidR="00801E5C" w:rsidRPr="006B36D8" w:rsidRDefault="00C5284C" w:rsidP="00C425BD">
            <w:p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b/>
                <w:sz w:val="24"/>
                <w:szCs w:val="24"/>
              </w:rPr>
              <w:t>Main Duties and Responsibilities</w:t>
            </w:r>
          </w:p>
        </w:tc>
      </w:tr>
      <w:tr w:rsidR="00777EEC" w:rsidRPr="004F732E" w14:paraId="0285124B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23C61E4C" w14:textId="57BDFB59" w:rsidR="00777EEC" w:rsidRPr="006B36D8" w:rsidRDefault="00B71D6D" w:rsidP="00C425B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Holistic Advice and Support</w:t>
            </w:r>
          </w:p>
        </w:tc>
      </w:tr>
      <w:tr w:rsidR="00777EEC" w:rsidRPr="004F732E" w14:paraId="28599036" w14:textId="77777777" w:rsidTr="00777EEC">
        <w:tc>
          <w:tcPr>
            <w:tcW w:w="9628" w:type="dxa"/>
          </w:tcPr>
          <w:p w14:paraId="6493C6A6" w14:textId="77777777" w:rsidR="006B36D8" w:rsidRPr="004F732E" w:rsidRDefault="006B36D8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sz w:val="24"/>
                <w:szCs w:val="24"/>
              </w:rPr>
              <w:t>Engage with hard to reach individuals through community venues, events and Moneywise Plus digital taster sessions across Leicester City and Leicestershire</w:t>
            </w:r>
          </w:p>
          <w:p w14:paraId="4FBE1596" w14:textId="77777777" w:rsidR="007364B1" w:rsidRPr="004F732E" w:rsidRDefault="007364B1" w:rsidP="007364B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sz w:val="24"/>
                <w:szCs w:val="24"/>
              </w:rPr>
              <w:t>Work closely with the Referrals Administrator, ensuring contact is made with participants who have been referred directly into the service via other agencies</w:t>
            </w:r>
          </w:p>
          <w:p w14:paraId="174140D7" w14:textId="60F15C1F" w:rsidR="00446B1F" w:rsidRPr="00446B1F" w:rsidRDefault="00446B1F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46B1F">
              <w:rPr>
                <w:rFonts w:cstheme="minorHAnsi"/>
                <w:sz w:val="24"/>
                <w:szCs w:val="24"/>
              </w:rPr>
              <w:t>Undertake needs and risk assessments with potential participants to identify potential barriers to engagement</w:t>
            </w:r>
          </w:p>
          <w:p w14:paraId="6D67DAAC" w14:textId="275718BA" w:rsidR="006B36D8" w:rsidRPr="004F732E" w:rsidRDefault="006B36D8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sz w:val="24"/>
                <w:szCs w:val="24"/>
              </w:rPr>
              <w:t xml:space="preserve">Undertake home visits when required to register potential participants with barriers to engagement </w:t>
            </w:r>
          </w:p>
          <w:p w14:paraId="2AF47D16" w14:textId="77777777" w:rsidR="007364B1" w:rsidRPr="004F732E" w:rsidRDefault="007364B1" w:rsidP="007364B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sz w:val="24"/>
                <w:szCs w:val="24"/>
              </w:rPr>
              <w:t>Register new participants on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732E">
              <w:rPr>
                <w:rFonts w:cstheme="minorHAnsi"/>
                <w:sz w:val="24"/>
                <w:szCs w:val="24"/>
              </w:rPr>
              <w:t>to the project evidencing eligibility and completing relevant paperwork in line with funders requirements</w:t>
            </w:r>
          </w:p>
          <w:p w14:paraId="006C388F" w14:textId="10DF112B" w:rsidR="006B36D8" w:rsidRDefault="006B36D8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sz w:val="24"/>
                <w:szCs w:val="24"/>
              </w:rPr>
              <w:lastRenderedPageBreak/>
              <w:t xml:space="preserve">Provide one-to-one </w:t>
            </w:r>
            <w:r w:rsidR="00446B1F">
              <w:rPr>
                <w:rFonts w:cstheme="minorHAnsi"/>
                <w:sz w:val="24"/>
                <w:szCs w:val="24"/>
              </w:rPr>
              <w:t>advice,</w:t>
            </w:r>
            <w:r w:rsidRPr="004F732E">
              <w:rPr>
                <w:rFonts w:cstheme="minorHAnsi"/>
                <w:sz w:val="24"/>
                <w:szCs w:val="24"/>
              </w:rPr>
              <w:t xml:space="preserve"> support </w:t>
            </w:r>
            <w:r w:rsidR="00446B1F">
              <w:rPr>
                <w:rFonts w:cstheme="minorHAnsi"/>
                <w:sz w:val="24"/>
                <w:szCs w:val="24"/>
              </w:rPr>
              <w:t>and guidance to</w:t>
            </w:r>
            <w:r w:rsidRPr="004F732E">
              <w:rPr>
                <w:rFonts w:cstheme="minorHAnsi"/>
                <w:sz w:val="24"/>
                <w:szCs w:val="24"/>
              </w:rPr>
              <w:t xml:space="preserve"> Moneywise Plus participants </w:t>
            </w:r>
            <w:r w:rsidR="00446B1F">
              <w:rPr>
                <w:rFonts w:cstheme="minorHAnsi"/>
                <w:sz w:val="24"/>
                <w:szCs w:val="24"/>
              </w:rPr>
              <w:t>wanting to improve their financial and digital skill</w:t>
            </w:r>
            <w:r w:rsidR="00017BC6">
              <w:rPr>
                <w:rFonts w:cstheme="minorHAnsi"/>
                <w:sz w:val="24"/>
                <w:szCs w:val="24"/>
              </w:rPr>
              <w:t>s (including using the internet, saving money, budgeting, managing money online etc.</w:t>
            </w:r>
          </w:p>
          <w:p w14:paraId="5FAF28EA" w14:textId="16653A62" w:rsidR="00446B1F" w:rsidRPr="004F732E" w:rsidRDefault="00446B1F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bespoke actions plans with participants to</w:t>
            </w:r>
            <w:r w:rsidR="007364B1">
              <w:rPr>
                <w:rFonts w:cstheme="minorHAnsi"/>
                <w:sz w:val="24"/>
                <w:szCs w:val="24"/>
              </w:rPr>
              <w:t xml:space="preserve"> ensure they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64B1">
              <w:rPr>
                <w:rFonts w:cstheme="minorHAnsi"/>
                <w:sz w:val="24"/>
                <w:szCs w:val="24"/>
              </w:rPr>
              <w:t>achieve</w:t>
            </w:r>
            <w:r>
              <w:rPr>
                <w:rFonts w:cstheme="minorHAnsi"/>
                <w:sz w:val="24"/>
                <w:szCs w:val="24"/>
              </w:rPr>
              <w:t xml:space="preserve"> their education, training or employment goals</w:t>
            </w:r>
          </w:p>
          <w:p w14:paraId="1B5D7950" w14:textId="430BB8DC" w:rsidR="007364B1" w:rsidRDefault="007364B1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participants are referred to specialist support to overcome any other complex needs which cannot be met by Moneywise Plus</w:t>
            </w:r>
          </w:p>
          <w:p w14:paraId="11A24AE2" w14:textId="1316A44C" w:rsidR="00C136F9" w:rsidRPr="004F732E" w:rsidRDefault="00C136F9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sz w:val="24"/>
                <w:szCs w:val="24"/>
              </w:rPr>
              <w:t>Work closely with the Referrals Administrator</w:t>
            </w:r>
            <w:r w:rsidR="007364B1">
              <w:rPr>
                <w:rFonts w:cstheme="minorHAnsi"/>
                <w:sz w:val="24"/>
                <w:szCs w:val="24"/>
              </w:rPr>
              <w:t xml:space="preserve"> and other Moneywise Plus Advisors</w:t>
            </w:r>
            <w:r w:rsidRPr="004F732E">
              <w:rPr>
                <w:rFonts w:cstheme="minorHAnsi"/>
                <w:sz w:val="24"/>
                <w:szCs w:val="24"/>
              </w:rPr>
              <w:t xml:space="preserve"> to identify non-engaging participants in order to re-engage them on the project </w:t>
            </w:r>
          </w:p>
          <w:p w14:paraId="40847BCA" w14:textId="77777777" w:rsidR="00C5284C" w:rsidRDefault="007364B1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Contribute to individual and Moneywise Plus Project participant, soft outcome and results targets</w:t>
            </w:r>
          </w:p>
          <w:p w14:paraId="461B8211" w14:textId="77FD7726" w:rsidR="00017BC6" w:rsidRPr="008C6E2E" w:rsidRDefault="00017BC6" w:rsidP="00C136F9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Support the wider project by providing cover for Advisors, and the Referrals Administrator, to ensure the efficient operation of Moneywise Plus</w:t>
            </w:r>
          </w:p>
        </w:tc>
      </w:tr>
      <w:tr w:rsidR="008C6E2E" w14:paraId="0C83F648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458B4FDF" w14:textId="250DAAD2" w:rsidR="008C6E2E" w:rsidRPr="00777EEC" w:rsidRDefault="00B71D6D" w:rsidP="00C425B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Outreach and Promotion</w:t>
            </w:r>
          </w:p>
        </w:tc>
      </w:tr>
      <w:tr w:rsidR="008C6E2E" w14:paraId="14274A6B" w14:textId="77777777" w:rsidTr="008C6E2E">
        <w:tc>
          <w:tcPr>
            <w:tcW w:w="9628" w:type="dxa"/>
            <w:shd w:val="clear" w:color="auto" w:fill="auto"/>
          </w:tcPr>
          <w:p w14:paraId="0ADD2F3D" w14:textId="6B042479" w:rsidR="008C6E2E" w:rsidRPr="00C136F9" w:rsidRDefault="00C136F9" w:rsidP="00C425B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Undertake regular promotional activities across Leicester and Leicestershire to ensure participants are aware of the service</w:t>
            </w:r>
          </w:p>
          <w:p w14:paraId="44CEB140" w14:textId="77777777" w:rsidR="00C136F9" w:rsidRPr="00C67FF9" w:rsidRDefault="00C136F9" w:rsidP="00C425B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Actively identify groups/organisations</w:t>
            </w:r>
            <w:r w:rsidR="00C67FF9">
              <w:rPr>
                <w:bCs/>
                <w:sz w:val="24"/>
              </w:rPr>
              <w:t xml:space="preserve"> where outreach work could be completed to engage with, and sign up, hard to reach individuals</w:t>
            </w:r>
          </w:p>
          <w:p w14:paraId="58DB682B" w14:textId="77777777" w:rsidR="00C67FF9" w:rsidRPr="00C67FF9" w:rsidRDefault="00C67FF9" w:rsidP="00C425B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Be an ambassador for the Moneywise Plus Project when speaking to professionals and potential participants</w:t>
            </w:r>
          </w:p>
          <w:p w14:paraId="4DB782F2" w14:textId="29D6DB69" w:rsidR="00C67FF9" w:rsidRPr="00C67FF9" w:rsidRDefault="00C67FF9" w:rsidP="00C425BD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Encourage participants to ‘tell their story’</w:t>
            </w:r>
            <w:r w:rsidRPr="00C67FF9">
              <w:rPr>
                <w:bCs/>
                <w:sz w:val="24"/>
              </w:rPr>
              <w:t xml:space="preserve"> </w:t>
            </w:r>
            <w:r w:rsidR="007364B1">
              <w:rPr>
                <w:bCs/>
                <w:sz w:val="24"/>
              </w:rPr>
              <w:t>and contribute ideas to the marketing and communication function of Moneywise Plus</w:t>
            </w:r>
          </w:p>
        </w:tc>
      </w:tr>
      <w:tr w:rsidR="008C6E2E" w14:paraId="300130E3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40FFCA50" w14:textId="736841B5" w:rsidR="008C6E2E" w:rsidRPr="00777EEC" w:rsidRDefault="008C6E2E" w:rsidP="00C425B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Other Moneywise Plus Duties</w:t>
            </w:r>
          </w:p>
        </w:tc>
      </w:tr>
      <w:tr w:rsidR="008C6E2E" w14:paraId="641DD01B" w14:textId="77777777" w:rsidTr="008C6E2E">
        <w:tc>
          <w:tcPr>
            <w:tcW w:w="9628" w:type="dxa"/>
            <w:shd w:val="clear" w:color="auto" w:fill="auto"/>
          </w:tcPr>
          <w:p w14:paraId="07E5CF78" w14:textId="1DF4222C" w:rsidR="008C6E2E" w:rsidRPr="004F732E" w:rsidRDefault="00891F57" w:rsidP="00C425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Effectively create, manage and close down participant files, ensuring all relevant paperwork and documentation is completed to guarantee compliance with funders</w:t>
            </w:r>
          </w:p>
          <w:p w14:paraId="1654DD21" w14:textId="3274C0AE" w:rsidR="008C6E2E" w:rsidRPr="004F732E" w:rsidRDefault="008C6E2E" w:rsidP="00C425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F732E">
              <w:rPr>
                <w:rFonts w:cstheme="minorHAnsi"/>
                <w:sz w:val="24"/>
                <w:szCs w:val="24"/>
              </w:rPr>
              <w:t>Complete individual KPI spreadsheet</w:t>
            </w:r>
            <w:r w:rsidR="00C136F9">
              <w:rPr>
                <w:rFonts w:cstheme="minorHAnsi"/>
                <w:sz w:val="24"/>
                <w:szCs w:val="24"/>
              </w:rPr>
              <w:t>s</w:t>
            </w:r>
            <w:r w:rsidRPr="004F732E">
              <w:rPr>
                <w:rFonts w:cstheme="minorHAnsi"/>
                <w:sz w:val="24"/>
                <w:szCs w:val="24"/>
              </w:rPr>
              <w:t>/action plan</w:t>
            </w:r>
            <w:r w:rsidR="00C136F9">
              <w:rPr>
                <w:rFonts w:cstheme="minorHAnsi"/>
                <w:sz w:val="24"/>
                <w:szCs w:val="24"/>
              </w:rPr>
              <w:t>s</w:t>
            </w:r>
            <w:r w:rsidRPr="004F732E">
              <w:rPr>
                <w:rFonts w:cstheme="minorHAnsi"/>
                <w:sz w:val="24"/>
                <w:szCs w:val="24"/>
              </w:rPr>
              <w:t xml:space="preserve"> in line with individual targets and project outcomes for monthly and quarterly monitoring reports</w:t>
            </w:r>
          </w:p>
          <w:p w14:paraId="18D037C3" w14:textId="2A27899C" w:rsidR="008C6E2E" w:rsidRDefault="00891F57" w:rsidP="00C425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Ensure the </w:t>
            </w:r>
            <w:r w:rsidR="00C136F9">
              <w:rPr>
                <w:rFonts w:cstheme="minorHAnsi"/>
                <w:sz w:val="24"/>
                <w:szCs w:val="24"/>
              </w:rPr>
              <w:t xml:space="preserve">Charity Log </w:t>
            </w:r>
            <w:r w:rsidR="008C6E2E" w:rsidRPr="004F732E">
              <w:rPr>
                <w:rFonts w:cstheme="minorHAnsi"/>
                <w:sz w:val="24"/>
                <w:szCs w:val="24"/>
              </w:rPr>
              <w:t>CM</w:t>
            </w:r>
            <w:r w:rsidR="00C136F9">
              <w:rPr>
                <w:rFonts w:cstheme="minorHAnsi"/>
                <w:sz w:val="24"/>
                <w:szCs w:val="24"/>
              </w:rPr>
              <w:t>S</w:t>
            </w:r>
            <w:r w:rsidR="008C6E2E" w:rsidRPr="004F732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is updated </w:t>
            </w:r>
            <w:r w:rsidR="008C6E2E" w:rsidRPr="004F732E">
              <w:rPr>
                <w:rFonts w:cstheme="minorHAnsi"/>
                <w:sz w:val="24"/>
                <w:szCs w:val="24"/>
              </w:rPr>
              <w:t>in a timely manner, ensuring accurate recording</w:t>
            </w:r>
          </w:p>
          <w:p w14:paraId="6DE046D0" w14:textId="77777777" w:rsidR="008C6E2E" w:rsidRDefault="008C6E2E" w:rsidP="00C425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8C6E2E">
              <w:rPr>
                <w:rFonts w:cstheme="minorHAnsi"/>
                <w:sz w:val="24"/>
                <w:szCs w:val="24"/>
              </w:rPr>
              <w:t xml:space="preserve">Support </w:t>
            </w:r>
            <w:r w:rsidR="00C136F9">
              <w:rPr>
                <w:rFonts w:cstheme="minorHAnsi"/>
                <w:sz w:val="24"/>
                <w:szCs w:val="24"/>
              </w:rPr>
              <w:t xml:space="preserve">the </w:t>
            </w:r>
            <w:r w:rsidRPr="008C6E2E">
              <w:rPr>
                <w:rFonts w:cstheme="minorHAnsi"/>
                <w:sz w:val="24"/>
                <w:szCs w:val="24"/>
              </w:rPr>
              <w:t xml:space="preserve">delivery of </w:t>
            </w:r>
            <w:r w:rsidR="00C136F9">
              <w:rPr>
                <w:rFonts w:cstheme="minorHAnsi"/>
                <w:sz w:val="24"/>
                <w:szCs w:val="24"/>
              </w:rPr>
              <w:t xml:space="preserve">the </w:t>
            </w:r>
            <w:r w:rsidRPr="008C6E2E">
              <w:rPr>
                <w:rFonts w:cstheme="minorHAnsi"/>
                <w:sz w:val="24"/>
                <w:szCs w:val="24"/>
              </w:rPr>
              <w:t xml:space="preserve">Moneywise Plus </w:t>
            </w:r>
            <w:r w:rsidR="00C136F9">
              <w:rPr>
                <w:rFonts w:cstheme="minorHAnsi"/>
                <w:sz w:val="24"/>
                <w:szCs w:val="24"/>
              </w:rPr>
              <w:t>‘</w:t>
            </w:r>
            <w:r w:rsidR="00C136F9" w:rsidRPr="008C6E2E">
              <w:rPr>
                <w:rFonts w:cstheme="minorHAnsi"/>
                <w:sz w:val="24"/>
                <w:szCs w:val="24"/>
              </w:rPr>
              <w:t>Equalities</w:t>
            </w:r>
            <w:r w:rsidR="00C136F9">
              <w:rPr>
                <w:rFonts w:cstheme="minorHAnsi"/>
                <w:sz w:val="24"/>
                <w:szCs w:val="24"/>
              </w:rPr>
              <w:t>’</w:t>
            </w:r>
            <w:r w:rsidR="00C136F9" w:rsidRPr="008C6E2E">
              <w:rPr>
                <w:rFonts w:cstheme="minorHAnsi"/>
                <w:sz w:val="24"/>
                <w:szCs w:val="24"/>
              </w:rPr>
              <w:t xml:space="preserve"> </w:t>
            </w:r>
            <w:r w:rsidR="00C136F9">
              <w:rPr>
                <w:rFonts w:cstheme="minorHAnsi"/>
                <w:sz w:val="24"/>
                <w:szCs w:val="24"/>
              </w:rPr>
              <w:t xml:space="preserve">and ‘Sustainable Development’ </w:t>
            </w:r>
            <w:r w:rsidRPr="008C6E2E">
              <w:rPr>
                <w:rFonts w:cstheme="minorHAnsi"/>
                <w:sz w:val="24"/>
                <w:szCs w:val="24"/>
              </w:rPr>
              <w:t>Action Plan</w:t>
            </w:r>
            <w:r w:rsidR="00C136F9">
              <w:rPr>
                <w:rFonts w:cstheme="minorHAnsi"/>
                <w:sz w:val="24"/>
                <w:szCs w:val="24"/>
              </w:rPr>
              <w:t xml:space="preserve">s </w:t>
            </w:r>
          </w:p>
          <w:p w14:paraId="3C6E0760" w14:textId="213E61FD" w:rsidR="007364B1" w:rsidRPr="008C6E2E" w:rsidRDefault="007364B1" w:rsidP="00C425BD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Attend regular Moneywise Plus Team Meetings, whilst ensuring meaningful contribution to the development and sustainability of the project</w:t>
            </w:r>
          </w:p>
        </w:tc>
      </w:tr>
      <w:tr w:rsidR="00801E5C" w14:paraId="3A5E7C96" w14:textId="77777777" w:rsidTr="00777EEC">
        <w:tc>
          <w:tcPr>
            <w:tcW w:w="9628" w:type="dxa"/>
            <w:shd w:val="clear" w:color="auto" w:fill="D9D9D9" w:themeFill="background1" w:themeFillShade="D9"/>
          </w:tcPr>
          <w:p w14:paraId="505DD26D" w14:textId="5657F4AF" w:rsidR="00801E5C" w:rsidRPr="00777EEC" w:rsidRDefault="00801E5C" w:rsidP="00C425BD">
            <w:pPr>
              <w:jc w:val="both"/>
              <w:rPr>
                <w:b/>
                <w:sz w:val="24"/>
              </w:rPr>
            </w:pPr>
            <w:r w:rsidRPr="00777EEC">
              <w:rPr>
                <w:b/>
                <w:sz w:val="24"/>
              </w:rPr>
              <w:t>General</w:t>
            </w:r>
            <w:r w:rsidR="00777EEC" w:rsidRPr="00777EEC">
              <w:rPr>
                <w:b/>
                <w:sz w:val="24"/>
              </w:rPr>
              <w:t xml:space="preserve"> Organisational Duties</w:t>
            </w:r>
          </w:p>
        </w:tc>
      </w:tr>
      <w:tr w:rsidR="00801E5C" w14:paraId="4BC6F538" w14:textId="77777777" w:rsidTr="00801E5C">
        <w:tc>
          <w:tcPr>
            <w:tcW w:w="9628" w:type="dxa"/>
          </w:tcPr>
          <w:p w14:paraId="76C82549" w14:textId="77777777" w:rsidR="00C425BD" w:rsidRPr="00F86730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comply </w:t>
            </w:r>
            <w:r>
              <w:rPr>
                <w:rFonts w:ascii="Calibri" w:hAnsi="Calibri" w:cs="Arial"/>
                <w:sz w:val="24"/>
                <w:szCs w:val="24"/>
              </w:rPr>
              <w:t>with, and adhere to, The Bridge’s Quality Management System (QMS)</w:t>
            </w:r>
          </w:p>
          <w:p w14:paraId="774B482B" w14:textId="77777777" w:rsidR="00C425BD" w:rsidRPr="00777EEC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take responsibility for producing your own correspondence</w:t>
            </w:r>
          </w:p>
          <w:p w14:paraId="1E1C9422" w14:textId="77777777" w:rsidR="00C425BD" w:rsidRPr="00777EEC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>engage with, and contribute in, your own Training and Continual Professional Development</w:t>
            </w:r>
          </w:p>
          <w:p w14:paraId="496B8F3A" w14:textId="77777777" w:rsidR="00C425BD" w:rsidRPr="00777EEC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 xml:space="preserve">To </w:t>
            </w:r>
            <w:r>
              <w:rPr>
                <w:rFonts w:ascii="Calibri" w:hAnsi="Calibri" w:cs="Arial"/>
                <w:sz w:val="24"/>
                <w:szCs w:val="24"/>
              </w:rPr>
              <w:t>embed and exhibit The Bridge (East Midland) Values and Ethos in your work</w:t>
            </w:r>
          </w:p>
          <w:p w14:paraId="3E628AB9" w14:textId="77777777" w:rsidR="00C425BD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take responsibility for your own health and safety and that of others in line with The Bridge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(East Midlands) </w:t>
            </w:r>
            <w:r w:rsidRPr="00777EEC">
              <w:rPr>
                <w:rFonts w:ascii="Calibri" w:hAnsi="Calibri" w:cs="Arial"/>
                <w:sz w:val="24"/>
                <w:szCs w:val="24"/>
              </w:rPr>
              <w:t xml:space="preserve">Health and Safety </w:t>
            </w:r>
            <w:r>
              <w:rPr>
                <w:rFonts w:ascii="Calibri" w:hAnsi="Calibri" w:cs="Arial"/>
                <w:sz w:val="24"/>
                <w:szCs w:val="24"/>
              </w:rPr>
              <w:t>P</w:t>
            </w:r>
            <w:r w:rsidRPr="00777EEC">
              <w:rPr>
                <w:rFonts w:ascii="Calibri" w:hAnsi="Calibri" w:cs="Arial"/>
                <w:sz w:val="24"/>
                <w:szCs w:val="24"/>
              </w:rPr>
              <w:t>olicy</w:t>
            </w:r>
          </w:p>
          <w:p w14:paraId="6570AF33" w14:textId="77777777" w:rsidR="00C425BD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To ensure you have an awareness of the categories of abuse, and the processes involved in the safeguarding of children, young people and vulnerable adults</w:t>
            </w:r>
          </w:p>
          <w:p w14:paraId="55DE49ED" w14:textId="2EFE291F" w:rsidR="00C5284C" w:rsidRPr="00C5284C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 w:rsidRPr="00777EEC">
              <w:rPr>
                <w:rFonts w:ascii="Calibri" w:hAnsi="Calibri" w:cs="Arial"/>
                <w:sz w:val="24"/>
                <w:szCs w:val="24"/>
              </w:rPr>
              <w:t>To undertake other duties as required by the Chief Officer to ensure the smooth running of The Bridge</w:t>
            </w:r>
          </w:p>
        </w:tc>
      </w:tr>
      <w:tr w:rsidR="00C5284C" w14:paraId="1DD7375C" w14:textId="77777777" w:rsidTr="00813A45">
        <w:tc>
          <w:tcPr>
            <w:tcW w:w="9628" w:type="dxa"/>
            <w:shd w:val="clear" w:color="auto" w:fill="D9D9D9" w:themeFill="background1" w:themeFillShade="D9"/>
          </w:tcPr>
          <w:p w14:paraId="201D4470" w14:textId="04CA7D31" w:rsidR="00C5284C" w:rsidRPr="00777EEC" w:rsidRDefault="00C5284C" w:rsidP="00C425B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Special Factors</w:t>
            </w:r>
          </w:p>
        </w:tc>
      </w:tr>
      <w:tr w:rsidR="00C5284C" w14:paraId="179B595D" w14:textId="77777777" w:rsidTr="00813A45">
        <w:tc>
          <w:tcPr>
            <w:tcW w:w="9628" w:type="dxa"/>
          </w:tcPr>
          <w:p w14:paraId="3B1805B7" w14:textId="77777777" w:rsidR="00C5284C" w:rsidRDefault="00C5284C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This role is required to work occasional evenings and weekends</w:t>
            </w:r>
          </w:p>
          <w:p w14:paraId="1295CB0C" w14:textId="5EC7888D" w:rsidR="00C5284C" w:rsidRPr="00C5284C" w:rsidRDefault="00C425BD" w:rsidP="00C425B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</w:t>
            </w:r>
            <w:r w:rsidR="00C5284C">
              <w:rPr>
                <w:rFonts w:ascii="Calibri" w:hAnsi="Calibri" w:cs="Arial"/>
                <w:sz w:val="24"/>
                <w:szCs w:val="24"/>
              </w:rPr>
              <w:t xml:space="preserve"> full driving licence and </w:t>
            </w:r>
            <w:r>
              <w:rPr>
                <w:rFonts w:ascii="Calibri" w:hAnsi="Calibri" w:cs="Arial"/>
                <w:sz w:val="24"/>
                <w:szCs w:val="24"/>
              </w:rPr>
              <w:t>the</w:t>
            </w:r>
            <w:r w:rsidR="00C5284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use of a </w:t>
            </w:r>
            <w:r w:rsidR="00C5284C">
              <w:rPr>
                <w:rFonts w:ascii="Calibri" w:hAnsi="Calibri" w:cs="Arial"/>
                <w:sz w:val="24"/>
                <w:szCs w:val="24"/>
              </w:rPr>
              <w:t>car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is essential for this role</w:t>
            </w:r>
          </w:p>
        </w:tc>
      </w:tr>
    </w:tbl>
    <w:p w14:paraId="4EEFB324" w14:textId="77777777" w:rsidR="00C5284C" w:rsidRDefault="00C5284C" w:rsidP="00C425BD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7EEC" w14:paraId="44AFB9E0" w14:textId="77777777" w:rsidTr="00813A45">
        <w:tc>
          <w:tcPr>
            <w:tcW w:w="9628" w:type="dxa"/>
            <w:shd w:val="clear" w:color="auto" w:fill="BFBFBF" w:themeFill="background1" w:themeFillShade="BF"/>
          </w:tcPr>
          <w:p w14:paraId="2DE1A626" w14:textId="586C6FA9" w:rsidR="00777EEC" w:rsidRDefault="00777EEC" w:rsidP="00C425BD">
            <w:pPr>
              <w:jc w:val="both"/>
              <w:rPr>
                <w:sz w:val="24"/>
              </w:rPr>
            </w:pPr>
            <w:r>
              <w:rPr>
                <w:b/>
                <w:sz w:val="28"/>
              </w:rPr>
              <w:lastRenderedPageBreak/>
              <w:t>Person Specification</w:t>
            </w:r>
          </w:p>
        </w:tc>
      </w:tr>
    </w:tbl>
    <w:p w14:paraId="65B58626" w14:textId="3CA6877C" w:rsidR="00777EEC" w:rsidRDefault="00777EEC" w:rsidP="00C425BD">
      <w:pPr>
        <w:spacing w:after="0" w:line="240" w:lineRule="auto"/>
        <w:jc w:val="center"/>
        <w:rPr>
          <w:sz w:val="24"/>
        </w:rPr>
      </w:pPr>
    </w:p>
    <w:p w14:paraId="3EC1EB2C" w14:textId="77777777" w:rsidR="00864BDC" w:rsidRPr="00864BDC" w:rsidRDefault="00864BDC" w:rsidP="00864BDC">
      <w:pPr>
        <w:spacing w:after="0" w:line="240" w:lineRule="auto"/>
        <w:jc w:val="both"/>
        <w:rPr>
          <w:sz w:val="24"/>
        </w:rPr>
      </w:pPr>
      <w:r w:rsidRPr="00864BDC">
        <w:rPr>
          <w:sz w:val="24"/>
        </w:rPr>
        <w:t>The following criteria define the relevant knowledge, experience, skills and abilities which a candidate will need to demonstrate throughout the recruitment process.  The criteria will be assessed at different stages including Application (A), Interview (I), Test (T) or Presentation (P).</w:t>
      </w:r>
    </w:p>
    <w:p w14:paraId="3067D000" w14:textId="77777777" w:rsidR="00864BDC" w:rsidRPr="00864BDC" w:rsidRDefault="00864BDC" w:rsidP="00864BDC">
      <w:pPr>
        <w:spacing w:after="0" w:line="240" w:lineRule="auto"/>
        <w:jc w:val="both"/>
        <w:rPr>
          <w:sz w:val="24"/>
        </w:rPr>
      </w:pPr>
    </w:p>
    <w:p w14:paraId="1BA8FAB4" w14:textId="2BE9BCBF" w:rsidR="00B33387" w:rsidRDefault="00864BDC" w:rsidP="00864BDC">
      <w:pPr>
        <w:spacing w:after="0" w:line="240" w:lineRule="auto"/>
        <w:jc w:val="both"/>
        <w:rPr>
          <w:sz w:val="24"/>
        </w:rPr>
      </w:pPr>
      <w:r w:rsidRPr="00864BDC">
        <w:rPr>
          <w:sz w:val="24"/>
        </w:rPr>
        <w:t>In the final column we have provided a weighting in respect of the importance of meeting each criterion; 1 necessary, 2 important, 3 essential. The answer to each criterion will then be scored by members of the shortlisting panel on a scale of 0 to 2; 0 unmet, 1 part-met and 2 met. The total score of the application form will then be converted into a percentage which will be assessed against the organisational shortlisting thresholds. Candidates who meet, or exceed, this threshold will be invited to interview.</w:t>
      </w:r>
    </w:p>
    <w:p w14:paraId="40FAB57E" w14:textId="77777777" w:rsidR="00864BDC" w:rsidRDefault="00864BDC" w:rsidP="00864BDC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6713"/>
        <w:gridCol w:w="567"/>
        <w:gridCol w:w="567"/>
        <w:gridCol w:w="567"/>
        <w:gridCol w:w="561"/>
      </w:tblGrid>
      <w:tr w:rsidR="00B33387" w14:paraId="07531955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18F48CFD" w14:textId="75BFBD90" w:rsidR="00B33387" w:rsidRPr="00B33387" w:rsidRDefault="00B33387" w:rsidP="00C425B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713" w:type="dxa"/>
            <w:shd w:val="clear" w:color="auto" w:fill="D9D9D9" w:themeFill="background1" w:themeFillShade="D9"/>
          </w:tcPr>
          <w:p w14:paraId="78D17C01" w14:textId="726C2FB4" w:rsidR="00B33387" w:rsidRPr="00B33387" w:rsidRDefault="00B33387" w:rsidP="00C425BD">
            <w:pPr>
              <w:jc w:val="both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8F381D" w14:textId="6036FADC" w:rsidR="00B33387" w:rsidRPr="00B33387" w:rsidRDefault="00B33387" w:rsidP="00C425BD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686CDA" w14:textId="3B1643E2" w:rsidR="00B33387" w:rsidRPr="00B33387" w:rsidRDefault="00B33387" w:rsidP="00C425BD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E9369F" w14:textId="371A1501" w:rsidR="00B33387" w:rsidRPr="00B33387" w:rsidRDefault="00B33387" w:rsidP="00C425BD">
            <w:pPr>
              <w:jc w:val="center"/>
              <w:rPr>
                <w:b/>
                <w:sz w:val="24"/>
              </w:rPr>
            </w:pPr>
            <w:r w:rsidRPr="00B33387">
              <w:rPr>
                <w:b/>
                <w:sz w:val="24"/>
              </w:rPr>
              <w:t>T</w:t>
            </w:r>
            <w:r w:rsidR="00864BDC">
              <w:rPr>
                <w:b/>
                <w:sz w:val="24"/>
              </w:rPr>
              <w:t>/P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14:paraId="7D24C97F" w14:textId="094B21C9" w:rsidR="00B33387" w:rsidRPr="00B33387" w:rsidRDefault="00864BDC" w:rsidP="00C425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</w:t>
            </w:r>
          </w:p>
        </w:tc>
      </w:tr>
      <w:tr w:rsidR="00B33387" w14:paraId="143A1B50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0CE9DE3" w14:textId="14368ED4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18BE476" w14:textId="3E001624" w:rsidR="00B33387" w:rsidRDefault="001D5D3F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Substantial and </w:t>
            </w:r>
            <w:proofErr w:type="spellStart"/>
            <w:r>
              <w:rPr>
                <w:sz w:val="24"/>
              </w:rPr>
              <w:t>demonstratable</w:t>
            </w:r>
            <w:proofErr w:type="spellEnd"/>
            <w:r>
              <w:rPr>
                <w:sz w:val="24"/>
              </w:rPr>
              <w:t xml:space="preserve"> experience of assessing the needs of individuals and identifying their support needs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C831EB" w14:textId="09B64FDE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11300746" w14:textId="310B8F8C" w:rsidR="00B33387" w:rsidRDefault="00864BDC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8C4B19B" w14:textId="2ABCF9B7" w:rsidR="00B33387" w:rsidRDefault="008C6E2E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7A93D407" w14:textId="6D189E62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3387" w14:paraId="4D9F8B00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C00BC62" w14:textId="7CA4517E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347C5C9" w14:textId="7AFD95BF" w:rsidR="00B33387" w:rsidRDefault="001D5D3F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Substantial and </w:t>
            </w:r>
            <w:proofErr w:type="spellStart"/>
            <w:r>
              <w:rPr>
                <w:sz w:val="24"/>
              </w:rPr>
              <w:t>demonstratable</w:t>
            </w:r>
            <w:proofErr w:type="spellEnd"/>
            <w:r>
              <w:rPr>
                <w:sz w:val="24"/>
              </w:rPr>
              <w:t xml:space="preserve"> experience of engaging and maintaining professional relationships with hard to reach clients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37B5CC0" w14:textId="785FEAB1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EA21C73" w14:textId="325543B7" w:rsidR="00B33387" w:rsidRDefault="008C6E2E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B64136A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C2A4B83" w14:textId="64811308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3387" w14:paraId="52F28E55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DCFD61B" w14:textId="3E4B326A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69559D94" w14:textId="00BC3FA2" w:rsidR="00B33387" w:rsidRDefault="004B01F1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Thorough working knowledge of the social issues affecting people who are unemployed or economically inactive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8B1374" w14:textId="4CA67C4E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6761711" w14:textId="0C139F92" w:rsidR="00B33387" w:rsidRDefault="008C6E2E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09D875D3" w14:textId="51473BED" w:rsidR="00B33387" w:rsidRDefault="00C425BD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1" w:type="dxa"/>
          </w:tcPr>
          <w:p w14:paraId="6B5FBD6A" w14:textId="46C3F671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3387" w14:paraId="5B95960E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3B40F1F4" w14:textId="14AA85E8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458EF6A8" w14:textId="795E4823" w:rsidR="00B33387" w:rsidRDefault="004B01F1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Experience if facilitating group work and/or taster sessions, preferably with a digital and/or financial focus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995CC8" w14:textId="4D699C95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E891EA6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4C032BC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D69B6C5" w14:textId="66D23367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3387" w14:paraId="18EDC364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55581AD7" w14:textId="746D8D9F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300A8DB0" w14:textId="225BF082" w:rsidR="00B33387" w:rsidRDefault="004B01F1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 working knowledge of Windows and software, including Microsoft Office </w:t>
            </w:r>
            <w:r w:rsidR="00C352CA">
              <w:rPr>
                <w:sz w:val="24"/>
              </w:rPr>
              <w:t xml:space="preserve">&amp; </w:t>
            </w:r>
            <w:r>
              <w:rPr>
                <w:sz w:val="24"/>
              </w:rPr>
              <w:t>other complex CRM databases (e.g. Charity Log)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EA5BC7" w14:textId="46BB4E6B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CCF95AA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E5818C1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42AD99B0" w14:textId="290AD4E7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3387" w14:paraId="135F1007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013B7CB" w14:textId="40F6A500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F7E8937" w14:textId="54BDED17" w:rsidR="00B33387" w:rsidRDefault="004B01F1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Ability to be non-judgemental and sensitive to the individual needs or vulnerable and disadvantaged clients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62CBBE" w14:textId="0D54B9E0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D2EE11A" w14:textId="67DD6094" w:rsidR="00B33387" w:rsidRDefault="008C6E2E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53C003F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A7E891D" w14:textId="1F967DA2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3387" w14:paraId="013F7B48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463653FB" w14:textId="7B692DE7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2D40AB5C" w14:textId="4ED87B92" w:rsidR="00B33387" w:rsidRDefault="00E5797E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Ability to engage with a broad range of professionals utilising high level written and verbal communication skills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FAC6D5" w14:textId="11A9AE79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3AAAE1F" w14:textId="32CF04FA" w:rsidR="00B33387" w:rsidRDefault="008C6E2E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A9B84C2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5E6C5D0" w14:textId="6B5E6FEA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3387" w14:paraId="1AE57ED4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5492D0A" w14:textId="713F5E1C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035192A2" w14:textId="63E1BFAF" w:rsidR="00B33387" w:rsidRDefault="00E5797E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Ability to set and work within challenging targets and achieve high level outcomes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72F497" w14:textId="21955E18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341E3759" w14:textId="499889E3" w:rsidR="00B33387" w:rsidRDefault="008C6E2E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2AB17F2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063E30DF" w14:textId="20F84977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3387" w14:paraId="5ED4B8D1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617143BB" w14:textId="21C31214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51403D5E" w14:textId="78E964E4" w:rsidR="00B33387" w:rsidRDefault="00E5797E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ability to work on your own initiative and organise and manage several work strands simultaneously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7F1039" w14:textId="77B0E149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D9E22B7" w14:textId="2EC4A91D" w:rsidR="00B33387" w:rsidRDefault="008C6E2E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73E500B8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26A68F50" w14:textId="70270B9B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3387" w14:paraId="294FF626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643D03E3" w14:textId="32E1BC83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3" w:type="dxa"/>
            <w:shd w:val="clear" w:color="auto" w:fill="F2F2F2" w:themeFill="background1" w:themeFillShade="F2"/>
          </w:tcPr>
          <w:p w14:paraId="13CAFCCD" w14:textId="17158731" w:rsidR="00B33387" w:rsidRDefault="00E5797E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ability to deliver clear and concise presentations to promote a new service and encourage referrals from a range of stakeholders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50F613" w14:textId="33C1F09B" w:rsidR="00B33387" w:rsidRDefault="00B3338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55FD1A2E" w14:textId="77777777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C6B5C21" w14:textId="34D2D39B" w:rsidR="00B33387" w:rsidRDefault="00B33387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9E24A79" w14:textId="24F52E0D" w:rsidR="00B33387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25BD" w14:paraId="7CD5BC23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26B233E9" w14:textId="0D82D2EF" w:rsidR="00C425BD" w:rsidRDefault="00C425BD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13" w:type="dxa"/>
          </w:tcPr>
          <w:p w14:paraId="1D7E2A71" w14:textId="5D4A5942" w:rsidR="00C425BD" w:rsidRDefault="00B71D6D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 high-level commitment to the principles of confidentiality and how these </w:t>
            </w:r>
            <w:r w:rsidR="00864BDC">
              <w:rPr>
                <w:sz w:val="24"/>
              </w:rPr>
              <w:t>are embedded into day to day work with clients</w:t>
            </w:r>
          </w:p>
        </w:tc>
        <w:tc>
          <w:tcPr>
            <w:tcW w:w="567" w:type="dxa"/>
          </w:tcPr>
          <w:p w14:paraId="0C2EFEC1" w14:textId="77777777" w:rsidR="00C425BD" w:rsidRDefault="00C425BD" w:rsidP="00C425B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1EFF374" w14:textId="5B02D1C9" w:rsidR="00C425BD" w:rsidRDefault="00C425BD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D5B6B99" w14:textId="77777777" w:rsidR="00C425BD" w:rsidRDefault="00C425BD" w:rsidP="00C425B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673BD135" w14:textId="6CF45C32" w:rsidR="00C425BD" w:rsidRDefault="005734C7" w:rsidP="00C425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71D6D" w14:paraId="2156AC56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6B2C9A10" w14:textId="0DBAF587" w:rsidR="00B71D6D" w:rsidRDefault="00B71D6D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13" w:type="dxa"/>
          </w:tcPr>
          <w:p w14:paraId="291F5B03" w14:textId="30FECF2A" w:rsidR="00B71D6D" w:rsidRDefault="00B71D6D" w:rsidP="00B71D6D">
            <w:pPr>
              <w:jc w:val="both"/>
              <w:rPr>
                <w:sz w:val="24"/>
              </w:rPr>
            </w:pPr>
            <w:r>
              <w:rPr>
                <w:sz w:val="24"/>
              </w:rPr>
              <w:t>A high-level commitment to ensuring that The Bridge’s Values and Principles are embedded in your day to day work</w:t>
            </w:r>
          </w:p>
        </w:tc>
        <w:tc>
          <w:tcPr>
            <w:tcW w:w="567" w:type="dxa"/>
          </w:tcPr>
          <w:p w14:paraId="32F35E07" w14:textId="77777777" w:rsidR="00B71D6D" w:rsidRDefault="00B71D6D" w:rsidP="00B71D6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D6B0783" w14:textId="28DE7604" w:rsidR="00B71D6D" w:rsidRDefault="00B71D6D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4E0C05AE" w14:textId="77777777" w:rsidR="00B71D6D" w:rsidRDefault="00B71D6D" w:rsidP="00B71D6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3E42BCED" w14:textId="7581E232" w:rsidR="00B71D6D" w:rsidRDefault="005734C7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1D6D" w14:paraId="7013990D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1DC03573" w14:textId="744D0505" w:rsidR="00B71D6D" w:rsidRDefault="00B71D6D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13" w:type="dxa"/>
          </w:tcPr>
          <w:p w14:paraId="71CF3160" w14:textId="50834776" w:rsidR="00B71D6D" w:rsidRDefault="00B71D6D" w:rsidP="00B71D6D">
            <w:pPr>
              <w:jc w:val="both"/>
              <w:rPr>
                <w:sz w:val="24"/>
              </w:rPr>
            </w:pPr>
            <w:r>
              <w:rPr>
                <w:sz w:val="24"/>
              </w:rPr>
              <w:t>A thorough understanding of equal opportunities and diversity and how to counter discrimination within a service delivery setting</w:t>
            </w:r>
          </w:p>
        </w:tc>
        <w:tc>
          <w:tcPr>
            <w:tcW w:w="567" w:type="dxa"/>
          </w:tcPr>
          <w:p w14:paraId="34A61D59" w14:textId="77777777" w:rsidR="00B71D6D" w:rsidRDefault="00B71D6D" w:rsidP="00B71D6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3C0A158" w14:textId="503F2CEA" w:rsidR="00B71D6D" w:rsidRDefault="00B71D6D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6FFA87C7" w14:textId="536B2389" w:rsidR="00B71D6D" w:rsidRDefault="00B71D6D" w:rsidP="00B71D6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7937E330" w14:textId="12CF9812" w:rsidR="00B71D6D" w:rsidRDefault="005734C7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71D6D" w14:paraId="5E922364" w14:textId="77777777" w:rsidTr="00F86730">
        <w:tc>
          <w:tcPr>
            <w:tcW w:w="653" w:type="dxa"/>
            <w:shd w:val="clear" w:color="auto" w:fill="D9D9D9" w:themeFill="background1" w:themeFillShade="D9"/>
          </w:tcPr>
          <w:p w14:paraId="02E5B196" w14:textId="59AAA3B8" w:rsidR="00B71D6D" w:rsidRDefault="00B71D6D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13" w:type="dxa"/>
          </w:tcPr>
          <w:p w14:paraId="40DA8023" w14:textId="4736AB8B" w:rsidR="00B71D6D" w:rsidRDefault="00864BDC" w:rsidP="00B71D6D">
            <w:pPr>
              <w:jc w:val="both"/>
              <w:rPr>
                <w:sz w:val="24"/>
              </w:rPr>
            </w:pPr>
            <w:r>
              <w:rPr>
                <w:sz w:val="24"/>
              </w:rPr>
              <w:t>A thorough understanding of safeguarding processes and procedures for children, young people and vulnerable adults</w:t>
            </w:r>
          </w:p>
        </w:tc>
        <w:tc>
          <w:tcPr>
            <w:tcW w:w="567" w:type="dxa"/>
          </w:tcPr>
          <w:p w14:paraId="1972A4D9" w14:textId="77777777" w:rsidR="00B71D6D" w:rsidRDefault="00B71D6D" w:rsidP="00B71D6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E2AD30D" w14:textId="170CB95A" w:rsidR="00B71D6D" w:rsidRDefault="00B71D6D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67" w:type="dxa"/>
          </w:tcPr>
          <w:p w14:paraId="2BEF78BC" w14:textId="77777777" w:rsidR="00B71D6D" w:rsidRDefault="00B71D6D" w:rsidP="00B71D6D">
            <w:pPr>
              <w:jc w:val="center"/>
              <w:rPr>
                <w:sz w:val="24"/>
              </w:rPr>
            </w:pPr>
          </w:p>
        </w:tc>
        <w:tc>
          <w:tcPr>
            <w:tcW w:w="561" w:type="dxa"/>
          </w:tcPr>
          <w:p w14:paraId="1CF78410" w14:textId="4109A06A" w:rsidR="00B71D6D" w:rsidRDefault="005734C7" w:rsidP="00B71D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354FBDBD" w14:textId="5850F3FD" w:rsidR="00777EEC" w:rsidRDefault="00777EEC" w:rsidP="00C425BD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2406"/>
        <w:gridCol w:w="2410"/>
        <w:gridCol w:w="992"/>
        <w:gridCol w:w="1415"/>
      </w:tblGrid>
      <w:tr w:rsidR="00C5284C" w14:paraId="1413D310" w14:textId="77777777" w:rsidTr="00C5284C">
        <w:tc>
          <w:tcPr>
            <w:tcW w:w="9628" w:type="dxa"/>
            <w:gridSpan w:val="6"/>
            <w:shd w:val="clear" w:color="auto" w:fill="BFBFBF" w:themeFill="background1" w:themeFillShade="BF"/>
          </w:tcPr>
          <w:p w14:paraId="5117AB4F" w14:textId="5B716463" w:rsidR="00C5284C" w:rsidRPr="00F86730" w:rsidRDefault="00F86730" w:rsidP="00C425BD">
            <w:pPr>
              <w:jc w:val="both"/>
              <w:rPr>
                <w:b/>
                <w:sz w:val="28"/>
              </w:rPr>
            </w:pPr>
            <w:r w:rsidRPr="00F86730">
              <w:rPr>
                <w:b/>
                <w:sz w:val="28"/>
              </w:rPr>
              <w:t>Document Control</w:t>
            </w:r>
          </w:p>
        </w:tc>
      </w:tr>
      <w:tr w:rsidR="00C5284C" w14:paraId="0AFA46C4" w14:textId="77777777" w:rsidTr="00C5284C">
        <w:tc>
          <w:tcPr>
            <w:tcW w:w="1555" w:type="dxa"/>
          </w:tcPr>
          <w:p w14:paraId="4ADFF4A2" w14:textId="682C5AA9" w:rsidR="00C5284C" w:rsidRPr="00F86730" w:rsidRDefault="00C5284C" w:rsidP="00C425BD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Prepared by</w:t>
            </w:r>
          </w:p>
        </w:tc>
        <w:tc>
          <w:tcPr>
            <w:tcW w:w="5670" w:type="dxa"/>
            <w:gridSpan w:val="3"/>
          </w:tcPr>
          <w:p w14:paraId="0CB8B748" w14:textId="73D364D8" w:rsidR="00C5284C" w:rsidRDefault="004F732E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Chantelle Bramley </w:t>
            </w:r>
          </w:p>
        </w:tc>
        <w:tc>
          <w:tcPr>
            <w:tcW w:w="992" w:type="dxa"/>
          </w:tcPr>
          <w:p w14:paraId="255C0320" w14:textId="797B6758" w:rsidR="00C5284C" w:rsidRPr="00F86730" w:rsidRDefault="00C5284C" w:rsidP="00C425BD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Date</w:t>
            </w:r>
          </w:p>
        </w:tc>
        <w:tc>
          <w:tcPr>
            <w:tcW w:w="1411" w:type="dxa"/>
          </w:tcPr>
          <w:p w14:paraId="55F09E6B" w14:textId="3091A5DF" w:rsidR="00C5284C" w:rsidRDefault="009715CF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01/10/2019</w:t>
            </w:r>
          </w:p>
        </w:tc>
      </w:tr>
      <w:tr w:rsidR="00C5284C" w14:paraId="724F3DD9" w14:textId="77777777" w:rsidTr="00C5284C">
        <w:tc>
          <w:tcPr>
            <w:tcW w:w="2407" w:type="dxa"/>
            <w:gridSpan w:val="2"/>
          </w:tcPr>
          <w:p w14:paraId="5213FEBD" w14:textId="5A03FEB5" w:rsidR="00C5284C" w:rsidRPr="00F86730" w:rsidRDefault="00C5284C" w:rsidP="00C425BD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QMS Document No.</w:t>
            </w:r>
          </w:p>
        </w:tc>
        <w:tc>
          <w:tcPr>
            <w:tcW w:w="2407" w:type="dxa"/>
          </w:tcPr>
          <w:p w14:paraId="64208C46" w14:textId="2446573A" w:rsidR="00C5284C" w:rsidRDefault="004F732E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GEN-HR-0</w:t>
            </w:r>
            <w:r w:rsidR="009715CF">
              <w:rPr>
                <w:sz w:val="24"/>
              </w:rPr>
              <w:t>4</w:t>
            </w:r>
            <w:r w:rsidR="00D52E43">
              <w:rPr>
                <w:sz w:val="24"/>
              </w:rPr>
              <w:t>1</w:t>
            </w:r>
          </w:p>
        </w:tc>
        <w:tc>
          <w:tcPr>
            <w:tcW w:w="2407" w:type="dxa"/>
          </w:tcPr>
          <w:p w14:paraId="4FB23DAF" w14:textId="3957A053" w:rsidR="00C5284C" w:rsidRPr="00F86730" w:rsidRDefault="00C5284C" w:rsidP="00C425BD">
            <w:pPr>
              <w:jc w:val="both"/>
              <w:rPr>
                <w:b/>
                <w:sz w:val="24"/>
              </w:rPr>
            </w:pPr>
            <w:r w:rsidRPr="00F86730">
              <w:rPr>
                <w:b/>
                <w:sz w:val="24"/>
              </w:rPr>
              <w:t>Version</w:t>
            </w:r>
          </w:p>
        </w:tc>
        <w:tc>
          <w:tcPr>
            <w:tcW w:w="2407" w:type="dxa"/>
            <w:gridSpan w:val="2"/>
          </w:tcPr>
          <w:p w14:paraId="03F53DC4" w14:textId="190D0D84" w:rsidR="00C5284C" w:rsidRDefault="009715CF" w:rsidP="00C425BD">
            <w:pPr>
              <w:jc w:val="both"/>
              <w:rPr>
                <w:sz w:val="24"/>
              </w:rPr>
            </w:pPr>
            <w:r>
              <w:rPr>
                <w:sz w:val="24"/>
              </w:rPr>
              <w:t>v1</w:t>
            </w:r>
            <w:r w:rsidR="00733114">
              <w:rPr>
                <w:sz w:val="24"/>
              </w:rPr>
              <w:t>.0</w:t>
            </w:r>
          </w:p>
        </w:tc>
      </w:tr>
    </w:tbl>
    <w:p w14:paraId="56A9409D" w14:textId="77777777" w:rsidR="00C5284C" w:rsidRPr="00801E5C" w:rsidRDefault="00C5284C" w:rsidP="00C425BD">
      <w:pPr>
        <w:spacing w:after="0" w:line="240" w:lineRule="auto"/>
        <w:jc w:val="both"/>
        <w:rPr>
          <w:sz w:val="24"/>
        </w:rPr>
      </w:pPr>
    </w:p>
    <w:sectPr w:rsidR="00C5284C" w:rsidRPr="00801E5C" w:rsidSect="00801E5C"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9C1C1" w14:textId="77777777" w:rsidR="00726FF1" w:rsidRDefault="00726FF1" w:rsidP="00801E5C">
      <w:pPr>
        <w:spacing w:after="0" w:line="240" w:lineRule="auto"/>
      </w:pPr>
      <w:r>
        <w:separator/>
      </w:r>
    </w:p>
  </w:endnote>
  <w:endnote w:type="continuationSeparator" w:id="0">
    <w:p w14:paraId="775B6BB3" w14:textId="77777777" w:rsidR="00726FF1" w:rsidRDefault="00726FF1" w:rsidP="0080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FC043" w14:textId="77777777" w:rsidR="00726FF1" w:rsidRDefault="00726FF1" w:rsidP="00801E5C">
      <w:pPr>
        <w:spacing w:after="0" w:line="240" w:lineRule="auto"/>
      </w:pPr>
      <w:r>
        <w:separator/>
      </w:r>
    </w:p>
  </w:footnote>
  <w:footnote w:type="continuationSeparator" w:id="0">
    <w:p w14:paraId="6F855E0A" w14:textId="77777777" w:rsidR="00726FF1" w:rsidRDefault="00726FF1" w:rsidP="0080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483F" w14:textId="77777777" w:rsidR="009715CF" w:rsidRDefault="009715CF" w:rsidP="009715C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90B5D26" wp14:editId="3401407D">
          <wp:extent cx="6120130" cy="10115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10985" w14:textId="11AFFA70" w:rsidR="00801E5C" w:rsidRPr="009715CF" w:rsidRDefault="00801E5C" w:rsidP="00971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E91"/>
    <w:multiLevelType w:val="hybridMultilevel"/>
    <w:tmpl w:val="BCC2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1E2E"/>
    <w:multiLevelType w:val="hybridMultilevel"/>
    <w:tmpl w:val="4D24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558"/>
    <w:multiLevelType w:val="hybridMultilevel"/>
    <w:tmpl w:val="1194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B06"/>
    <w:multiLevelType w:val="hybridMultilevel"/>
    <w:tmpl w:val="84867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871F5"/>
    <w:multiLevelType w:val="hybridMultilevel"/>
    <w:tmpl w:val="37A07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001AA"/>
    <w:multiLevelType w:val="hybridMultilevel"/>
    <w:tmpl w:val="077C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C0DB1"/>
    <w:multiLevelType w:val="hybridMultilevel"/>
    <w:tmpl w:val="F4E0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C0"/>
    <w:rsid w:val="00017BC6"/>
    <w:rsid w:val="000B01FA"/>
    <w:rsid w:val="000C7411"/>
    <w:rsid w:val="00127D0E"/>
    <w:rsid w:val="00135F47"/>
    <w:rsid w:val="00195A93"/>
    <w:rsid w:val="001D5D3F"/>
    <w:rsid w:val="001E1A8D"/>
    <w:rsid w:val="001E7D1A"/>
    <w:rsid w:val="00307DC3"/>
    <w:rsid w:val="00342AC8"/>
    <w:rsid w:val="003C66F4"/>
    <w:rsid w:val="00446B1F"/>
    <w:rsid w:val="0045139C"/>
    <w:rsid w:val="004B01F1"/>
    <w:rsid w:val="004E230C"/>
    <w:rsid w:val="004F35D5"/>
    <w:rsid w:val="004F680A"/>
    <w:rsid w:val="004F732E"/>
    <w:rsid w:val="005734C7"/>
    <w:rsid w:val="00620C25"/>
    <w:rsid w:val="006B36D8"/>
    <w:rsid w:val="00726FF1"/>
    <w:rsid w:val="00733114"/>
    <w:rsid w:val="007364B1"/>
    <w:rsid w:val="00777EEC"/>
    <w:rsid w:val="00801E5C"/>
    <w:rsid w:val="00864BDC"/>
    <w:rsid w:val="00891F57"/>
    <w:rsid w:val="008C6E2E"/>
    <w:rsid w:val="009715CF"/>
    <w:rsid w:val="00A06425"/>
    <w:rsid w:val="00A65D3E"/>
    <w:rsid w:val="00A72E24"/>
    <w:rsid w:val="00A77943"/>
    <w:rsid w:val="00AE7E1E"/>
    <w:rsid w:val="00B33387"/>
    <w:rsid w:val="00B71D6D"/>
    <w:rsid w:val="00B9216A"/>
    <w:rsid w:val="00BB2A69"/>
    <w:rsid w:val="00BF5D62"/>
    <w:rsid w:val="00C136F9"/>
    <w:rsid w:val="00C352CA"/>
    <w:rsid w:val="00C425BD"/>
    <w:rsid w:val="00C5284C"/>
    <w:rsid w:val="00C67FF9"/>
    <w:rsid w:val="00D23CEE"/>
    <w:rsid w:val="00D52E43"/>
    <w:rsid w:val="00E5797E"/>
    <w:rsid w:val="00F173C0"/>
    <w:rsid w:val="00F34E71"/>
    <w:rsid w:val="00F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42CF9"/>
  <w15:chartTrackingRefBased/>
  <w15:docId w15:val="{B2F726F3-5135-46FF-9589-7EAD809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5C"/>
  </w:style>
  <w:style w:type="paragraph" w:styleId="Footer">
    <w:name w:val="footer"/>
    <w:basedOn w:val="Normal"/>
    <w:link w:val="FooterChar"/>
    <w:uiPriority w:val="99"/>
    <w:unhideWhenUsed/>
    <w:rsid w:val="00801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5C"/>
  </w:style>
  <w:style w:type="table" w:styleId="TableGrid">
    <w:name w:val="Table Grid"/>
    <w:basedOn w:val="TableNormal"/>
    <w:uiPriority w:val="39"/>
    <w:rsid w:val="008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74B4680660545BEF0F72819BBF548" ma:contentTypeVersion="14" ma:contentTypeDescription="Create a new document." ma:contentTypeScope="" ma:versionID="7fbd4735c87559b5a8f75bcdd765bb38">
  <xsd:schema xmlns:xsd="http://www.w3.org/2001/XMLSchema" xmlns:xs="http://www.w3.org/2001/XMLSchema" xmlns:p="http://schemas.microsoft.com/office/2006/metadata/properties" xmlns:ns2="8be8e954-a1db-433d-94e2-105db6c6d966" xmlns:ns3="6a613239-d17a-4dd0-877c-4d8cae69b065" targetNamespace="http://schemas.microsoft.com/office/2006/metadata/properties" ma:root="true" ma:fieldsID="710333175f0efd64f98e095863da0702" ns2:_="" ns3:_="">
    <xsd:import namespace="8be8e954-a1db-433d-94e2-105db6c6d966"/>
    <xsd:import namespace="6a613239-d17a-4dd0-877c-4d8cae69b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e954-a1db-433d-94e2-105db6c6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3239-d17a-4dd0-877c-4d8cae69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D34C-6FC0-40E2-B7ED-2F12E7E027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EC4B-75BA-4DEF-9E58-21C2C1DB3F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BEB3D9-6C32-4819-83A9-B6F757B90739}"/>
</file>

<file path=customXml/itemProps4.xml><?xml version="1.0" encoding="utf-8"?>
<ds:datastoreItem xmlns:ds="http://schemas.openxmlformats.org/officeDocument/2006/customXml" ds:itemID="{B9CFE51C-DF66-4281-822A-4AF6C83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Snape</dc:creator>
  <cp:keywords/>
  <dc:description/>
  <cp:lastModifiedBy>Chantelle Bramley</cp:lastModifiedBy>
  <cp:revision>2</cp:revision>
  <cp:lastPrinted>2018-08-21T15:32:00Z</cp:lastPrinted>
  <dcterms:created xsi:type="dcterms:W3CDTF">2021-02-04T13:55:00Z</dcterms:created>
  <dcterms:modified xsi:type="dcterms:W3CDTF">2021-02-04T13:55:00Z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0x01010096A74B4680660545BEF0F72819BBF548</vt:lpwstr>
  </property>
</Properties>
</file>